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1E812" w14:textId="6958C3EB" w:rsidR="00144326" w:rsidRPr="00144326" w:rsidRDefault="00144326" w:rsidP="00144326">
      <w:pPr>
        <w:spacing w:after="0" w:line="240" w:lineRule="auto"/>
        <w:ind w:left="2880" w:firstLine="720"/>
        <w:textAlignment w:val="baseline"/>
        <w:rPr>
          <w:rFonts w:ascii="Segoe UI" w:eastAsia="Times New Roman" w:hAnsi="Segoe UI" w:cs="Segoe UI"/>
          <w:sz w:val="24"/>
          <w:szCs w:val="24"/>
        </w:rPr>
      </w:pPr>
      <w:r w:rsidRPr="00144326">
        <w:rPr>
          <w:rFonts w:ascii="Times New Roman" w:eastAsia="Times New Roman" w:hAnsi="Times New Roman" w:cs="Times New Roman"/>
          <w:b/>
          <w:bCs/>
          <w:caps/>
          <w:sz w:val="24"/>
          <w:szCs w:val="24"/>
        </w:rPr>
        <w:t xml:space="preserve">PROJECT NO. </w:t>
      </w:r>
      <w:r w:rsidR="00F82FAA">
        <w:rPr>
          <w:rFonts w:ascii="Times New Roman" w:eastAsia="Times New Roman" w:hAnsi="Times New Roman" w:cs="Times New Roman"/>
          <w:b/>
          <w:bCs/>
          <w:caps/>
          <w:sz w:val="24"/>
          <w:szCs w:val="24"/>
        </w:rPr>
        <w:t>54</w:t>
      </w:r>
      <w:r w:rsidR="00DB380B">
        <w:rPr>
          <w:rFonts w:ascii="Times New Roman" w:eastAsia="Times New Roman" w:hAnsi="Times New Roman" w:cs="Times New Roman"/>
          <w:b/>
          <w:bCs/>
          <w:caps/>
          <w:sz w:val="24"/>
          <w:szCs w:val="24"/>
        </w:rPr>
        <w:t>335</w:t>
      </w:r>
    </w:p>
    <w:p w14:paraId="3E60C458" w14:textId="77777777" w:rsidR="00144326" w:rsidRPr="00144326" w:rsidRDefault="00144326" w:rsidP="00144326">
      <w:pPr>
        <w:spacing w:after="0" w:line="240" w:lineRule="auto"/>
        <w:jc w:val="center"/>
        <w:textAlignment w:val="baseline"/>
        <w:rPr>
          <w:rFonts w:ascii="Segoe UI" w:eastAsia="Times New Roman" w:hAnsi="Segoe UI" w:cs="Segoe UI"/>
          <w:sz w:val="24"/>
          <w:szCs w:val="24"/>
        </w:rPr>
      </w:pPr>
      <w:r w:rsidRPr="00144326">
        <w:rPr>
          <w:rFonts w:ascii="Times New Roman" w:eastAsia="Times New Roman" w:hAnsi="Times New Roman" w:cs="Times New Roman"/>
          <w:sz w:val="24"/>
          <w:szCs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72"/>
        <w:gridCol w:w="418"/>
        <w:gridCol w:w="4370"/>
      </w:tblGrid>
      <w:tr w:rsidR="00CA37F7" w:rsidRPr="00144326" w14:paraId="7DC7929D" w14:textId="77777777" w:rsidTr="00144326">
        <w:trPr>
          <w:trHeight w:val="480"/>
        </w:trPr>
        <w:tc>
          <w:tcPr>
            <w:tcW w:w="4740" w:type="dxa"/>
            <w:tcBorders>
              <w:top w:val="nil"/>
              <w:left w:val="nil"/>
              <w:bottom w:val="nil"/>
              <w:right w:val="nil"/>
            </w:tcBorders>
            <w:shd w:val="clear" w:color="auto" w:fill="auto"/>
            <w:hideMark/>
          </w:tcPr>
          <w:p w14:paraId="21593A97" w14:textId="40EA6244" w:rsidR="00144326" w:rsidRPr="00144326" w:rsidRDefault="00617498" w:rsidP="00144326">
            <w:pPr>
              <w:spacing w:after="0" w:line="240" w:lineRule="auto"/>
              <w:textAlignment w:val="baseline"/>
              <w:rPr>
                <w:rFonts w:ascii="Times New Roman" w:eastAsia="Times New Roman" w:hAnsi="Times New Roman" w:cs="Times New Roman"/>
                <w:sz w:val="24"/>
                <w:szCs w:val="24"/>
                <w:highlight w:val="yellow"/>
              </w:rPr>
            </w:pPr>
            <w:r w:rsidRPr="00617498">
              <w:rPr>
                <w:rFonts w:ascii="Times New Roman" w:eastAsia="Times New Roman" w:hAnsi="Times New Roman" w:cs="Times New Roman"/>
                <w:b/>
                <w:bCs/>
                <w:caps/>
                <w:sz w:val="24"/>
                <w:szCs w:val="24"/>
              </w:rPr>
              <w:t xml:space="preserve">review of </w:t>
            </w:r>
            <w:r w:rsidR="00CA37F7">
              <w:rPr>
                <w:rFonts w:ascii="Times New Roman" w:eastAsia="Times New Roman" w:hAnsi="Times New Roman" w:cs="Times New Roman"/>
                <w:b/>
                <w:bCs/>
                <w:caps/>
                <w:sz w:val="24"/>
                <w:szCs w:val="24"/>
              </w:rPr>
              <w:t>market reform assessment produced by energy and environmental economics, inc. (e3)</w:t>
            </w:r>
            <w:r w:rsidR="00144326" w:rsidRPr="00144326">
              <w:rPr>
                <w:rFonts w:ascii="Times New Roman" w:eastAsia="Times New Roman" w:hAnsi="Times New Roman" w:cs="Times New Roman"/>
                <w:b/>
                <w:bCs/>
                <w:caps/>
                <w:sz w:val="24"/>
                <w:szCs w:val="24"/>
              </w:rPr>
              <w:t>  </w:t>
            </w:r>
            <w:r w:rsidR="00144326" w:rsidRPr="00144326">
              <w:rPr>
                <w:rFonts w:ascii="Times New Roman" w:eastAsia="Times New Roman" w:hAnsi="Times New Roman" w:cs="Times New Roman"/>
                <w:sz w:val="24"/>
                <w:szCs w:val="24"/>
              </w:rPr>
              <w:t> </w:t>
            </w:r>
          </w:p>
        </w:tc>
        <w:tc>
          <w:tcPr>
            <w:tcW w:w="435" w:type="dxa"/>
            <w:tcBorders>
              <w:top w:val="nil"/>
              <w:left w:val="nil"/>
              <w:bottom w:val="nil"/>
              <w:right w:val="nil"/>
            </w:tcBorders>
            <w:shd w:val="clear" w:color="auto" w:fill="auto"/>
            <w:hideMark/>
          </w:tcPr>
          <w:p w14:paraId="7729656E" w14:textId="77777777" w:rsidR="00144326" w:rsidRPr="00144326" w:rsidRDefault="00144326" w:rsidP="00144326">
            <w:pPr>
              <w:spacing w:after="0" w:line="240" w:lineRule="auto"/>
              <w:jc w:val="both"/>
              <w:textAlignment w:val="baseline"/>
              <w:rPr>
                <w:rFonts w:ascii="Times New Roman" w:eastAsia="Times New Roman" w:hAnsi="Times New Roman" w:cs="Times New Roman"/>
                <w:sz w:val="24"/>
                <w:szCs w:val="24"/>
              </w:rPr>
            </w:pPr>
            <w:r w:rsidRPr="00144326">
              <w:rPr>
                <w:rFonts w:ascii="Times New Roman" w:eastAsia="Times New Roman" w:hAnsi="Times New Roman" w:cs="Times New Roman"/>
                <w:b/>
                <w:bCs/>
                <w:sz w:val="24"/>
                <w:szCs w:val="24"/>
              </w:rPr>
              <w:t>§</w:t>
            </w:r>
            <w:r w:rsidRPr="00144326">
              <w:rPr>
                <w:rFonts w:ascii="Times New Roman" w:eastAsia="Times New Roman" w:hAnsi="Times New Roman" w:cs="Times New Roman"/>
                <w:sz w:val="24"/>
                <w:szCs w:val="24"/>
              </w:rPr>
              <w:t> </w:t>
            </w:r>
          </w:p>
          <w:p w14:paraId="0A251E1B" w14:textId="77777777" w:rsidR="00144326" w:rsidRPr="00144326" w:rsidRDefault="00144326" w:rsidP="00144326">
            <w:pPr>
              <w:spacing w:after="0" w:line="240" w:lineRule="auto"/>
              <w:jc w:val="both"/>
              <w:textAlignment w:val="baseline"/>
              <w:rPr>
                <w:rFonts w:ascii="Times New Roman" w:eastAsia="Times New Roman" w:hAnsi="Times New Roman" w:cs="Times New Roman"/>
                <w:sz w:val="24"/>
                <w:szCs w:val="24"/>
              </w:rPr>
            </w:pPr>
            <w:r w:rsidRPr="00144326">
              <w:rPr>
                <w:rFonts w:ascii="Times New Roman" w:eastAsia="Times New Roman" w:hAnsi="Times New Roman" w:cs="Times New Roman"/>
                <w:b/>
                <w:bCs/>
                <w:sz w:val="24"/>
                <w:szCs w:val="24"/>
              </w:rPr>
              <w:t>§</w:t>
            </w:r>
            <w:r w:rsidRPr="00144326">
              <w:rPr>
                <w:rFonts w:ascii="Times New Roman" w:eastAsia="Times New Roman" w:hAnsi="Times New Roman" w:cs="Times New Roman"/>
                <w:sz w:val="24"/>
                <w:szCs w:val="24"/>
              </w:rPr>
              <w:t> </w:t>
            </w:r>
          </w:p>
          <w:p w14:paraId="4D00B013" w14:textId="77777777" w:rsidR="00144326" w:rsidRPr="00144326" w:rsidRDefault="00144326" w:rsidP="00144326">
            <w:pPr>
              <w:spacing w:after="0" w:line="240" w:lineRule="auto"/>
              <w:jc w:val="both"/>
              <w:textAlignment w:val="baseline"/>
              <w:rPr>
                <w:rFonts w:ascii="Times New Roman" w:eastAsia="Times New Roman" w:hAnsi="Times New Roman" w:cs="Times New Roman"/>
                <w:sz w:val="24"/>
                <w:szCs w:val="24"/>
              </w:rPr>
            </w:pPr>
            <w:r w:rsidRPr="00144326">
              <w:rPr>
                <w:rFonts w:ascii="Times New Roman" w:eastAsia="Times New Roman" w:hAnsi="Times New Roman" w:cs="Times New Roman"/>
                <w:b/>
                <w:bCs/>
                <w:sz w:val="24"/>
                <w:szCs w:val="24"/>
              </w:rPr>
              <w:t>§</w:t>
            </w:r>
            <w:r w:rsidRPr="00144326">
              <w:rPr>
                <w:rFonts w:ascii="Times New Roman" w:eastAsia="Times New Roman" w:hAnsi="Times New Roman" w:cs="Times New Roman"/>
                <w:sz w:val="24"/>
                <w:szCs w:val="24"/>
              </w:rPr>
              <w:t> </w:t>
            </w:r>
          </w:p>
          <w:p w14:paraId="2E6FA092" w14:textId="77777777" w:rsidR="00144326" w:rsidRPr="00144326" w:rsidRDefault="00144326" w:rsidP="00144326">
            <w:pPr>
              <w:spacing w:after="0" w:line="240" w:lineRule="auto"/>
              <w:jc w:val="both"/>
              <w:textAlignment w:val="baseline"/>
              <w:rPr>
                <w:rFonts w:ascii="Times New Roman" w:eastAsia="Times New Roman" w:hAnsi="Times New Roman" w:cs="Times New Roman"/>
                <w:sz w:val="24"/>
                <w:szCs w:val="24"/>
              </w:rPr>
            </w:pPr>
            <w:r w:rsidRPr="00144326">
              <w:rPr>
                <w:rFonts w:ascii="Times New Roman" w:eastAsia="Times New Roman" w:hAnsi="Times New Roman" w:cs="Times New Roman"/>
                <w:sz w:val="24"/>
                <w:szCs w:val="24"/>
              </w:rPr>
              <w:t> </w:t>
            </w:r>
          </w:p>
          <w:p w14:paraId="0B6FC873" w14:textId="77777777" w:rsidR="00144326" w:rsidRPr="00144326" w:rsidRDefault="00144326" w:rsidP="00144326">
            <w:pPr>
              <w:spacing w:after="0" w:line="240" w:lineRule="auto"/>
              <w:jc w:val="both"/>
              <w:textAlignment w:val="baseline"/>
              <w:rPr>
                <w:rFonts w:ascii="Times New Roman" w:eastAsia="Times New Roman" w:hAnsi="Times New Roman" w:cs="Times New Roman"/>
                <w:sz w:val="24"/>
                <w:szCs w:val="24"/>
              </w:rPr>
            </w:pPr>
            <w:r w:rsidRPr="00144326">
              <w:rPr>
                <w:rFonts w:ascii="Times New Roman" w:eastAsia="Times New Roman" w:hAnsi="Times New Roman" w:cs="Times New Roman"/>
                <w:sz w:val="24"/>
                <w:szCs w:val="24"/>
              </w:rPr>
              <w:t> </w:t>
            </w:r>
          </w:p>
        </w:tc>
        <w:tc>
          <w:tcPr>
            <w:tcW w:w="4560" w:type="dxa"/>
            <w:tcBorders>
              <w:top w:val="nil"/>
              <w:left w:val="nil"/>
              <w:bottom w:val="nil"/>
              <w:right w:val="nil"/>
            </w:tcBorders>
            <w:shd w:val="clear" w:color="auto" w:fill="auto"/>
            <w:hideMark/>
          </w:tcPr>
          <w:p w14:paraId="5A699B39" w14:textId="77777777" w:rsidR="00144326" w:rsidRPr="00144326" w:rsidRDefault="00144326" w:rsidP="00144326">
            <w:pPr>
              <w:spacing w:after="0" w:line="240" w:lineRule="auto"/>
              <w:jc w:val="center"/>
              <w:textAlignment w:val="baseline"/>
              <w:rPr>
                <w:rFonts w:ascii="Times New Roman" w:eastAsia="Times New Roman" w:hAnsi="Times New Roman" w:cs="Times New Roman"/>
                <w:sz w:val="24"/>
                <w:szCs w:val="24"/>
              </w:rPr>
            </w:pPr>
            <w:r w:rsidRPr="00144326">
              <w:rPr>
                <w:rFonts w:ascii="Times New Roman" w:eastAsia="Times New Roman" w:hAnsi="Times New Roman" w:cs="Times New Roman"/>
                <w:b/>
                <w:bCs/>
                <w:caps/>
                <w:sz w:val="24"/>
                <w:szCs w:val="24"/>
              </w:rPr>
              <w:t>PUBLIC UTILITY COMMISSION</w:t>
            </w:r>
            <w:r w:rsidRPr="00144326">
              <w:rPr>
                <w:rFonts w:ascii="Times New Roman" w:eastAsia="Times New Roman" w:hAnsi="Times New Roman" w:cs="Times New Roman"/>
                <w:sz w:val="24"/>
                <w:szCs w:val="24"/>
              </w:rPr>
              <w:t> </w:t>
            </w:r>
          </w:p>
          <w:p w14:paraId="2074C36F" w14:textId="77777777" w:rsidR="00144326" w:rsidRPr="00144326" w:rsidRDefault="00144326" w:rsidP="00144326">
            <w:pPr>
              <w:spacing w:after="0" w:line="240" w:lineRule="auto"/>
              <w:jc w:val="center"/>
              <w:textAlignment w:val="baseline"/>
              <w:rPr>
                <w:rFonts w:ascii="Times New Roman" w:eastAsia="Times New Roman" w:hAnsi="Times New Roman" w:cs="Times New Roman"/>
                <w:sz w:val="24"/>
                <w:szCs w:val="24"/>
              </w:rPr>
            </w:pPr>
            <w:r w:rsidRPr="00144326">
              <w:rPr>
                <w:rFonts w:ascii="Times New Roman" w:eastAsia="Times New Roman" w:hAnsi="Times New Roman" w:cs="Times New Roman"/>
                <w:sz w:val="24"/>
                <w:szCs w:val="24"/>
              </w:rPr>
              <w:t> </w:t>
            </w:r>
          </w:p>
          <w:p w14:paraId="3A7A381D" w14:textId="77777777" w:rsidR="00144326" w:rsidRPr="00144326" w:rsidRDefault="00144326" w:rsidP="00144326">
            <w:pPr>
              <w:spacing w:after="0" w:line="240" w:lineRule="auto"/>
              <w:jc w:val="center"/>
              <w:textAlignment w:val="baseline"/>
              <w:rPr>
                <w:rFonts w:ascii="Times New Roman" w:eastAsia="Times New Roman" w:hAnsi="Times New Roman" w:cs="Times New Roman"/>
                <w:sz w:val="24"/>
                <w:szCs w:val="24"/>
              </w:rPr>
            </w:pPr>
            <w:r w:rsidRPr="00144326">
              <w:rPr>
                <w:rFonts w:ascii="Times New Roman" w:eastAsia="Times New Roman" w:hAnsi="Times New Roman" w:cs="Times New Roman"/>
                <w:b/>
                <w:bCs/>
                <w:caps/>
                <w:sz w:val="24"/>
                <w:szCs w:val="24"/>
              </w:rPr>
              <w:t>OF TEXAS</w:t>
            </w:r>
            <w:r w:rsidRPr="00144326">
              <w:rPr>
                <w:rFonts w:ascii="Times New Roman" w:eastAsia="Times New Roman" w:hAnsi="Times New Roman" w:cs="Times New Roman"/>
                <w:sz w:val="24"/>
                <w:szCs w:val="24"/>
              </w:rPr>
              <w:t> </w:t>
            </w:r>
          </w:p>
        </w:tc>
      </w:tr>
    </w:tbl>
    <w:p w14:paraId="7F854CD8" w14:textId="77777777" w:rsidR="00CA37F7" w:rsidRDefault="00CA37F7" w:rsidP="00144326">
      <w:pPr>
        <w:jc w:val="center"/>
        <w:rPr>
          <w:rFonts w:ascii="Times New Roman" w:hAnsi="Times New Roman" w:cs="Times New Roman"/>
          <w:b/>
          <w:bCs/>
          <w:sz w:val="24"/>
          <w:szCs w:val="24"/>
        </w:rPr>
      </w:pPr>
    </w:p>
    <w:p w14:paraId="104DF77C" w14:textId="7AC8AC42" w:rsidR="00BF6DFC" w:rsidRPr="00F235C1" w:rsidRDefault="00BF6DFC" w:rsidP="00144326">
      <w:pPr>
        <w:jc w:val="center"/>
        <w:rPr>
          <w:rFonts w:ascii="Times New Roman" w:hAnsi="Times New Roman" w:cs="Times New Roman"/>
          <w:b/>
          <w:bCs/>
          <w:sz w:val="24"/>
          <w:szCs w:val="24"/>
        </w:rPr>
      </w:pPr>
      <w:r w:rsidRPr="00F235C1">
        <w:rPr>
          <w:rFonts w:ascii="Times New Roman" w:hAnsi="Times New Roman" w:cs="Times New Roman"/>
          <w:b/>
          <w:bCs/>
          <w:sz w:val="24"/>
          <w:szCs w:val="24"/>
        </w:rPr>
        <w:t>COMMENTS FROM ENEL NORTH AMERICA, INC.</w:t>
      </w:r>
    </w:p>
    <w:p w14:paraId="3D409493" w14:textId="77777777" w:rsidR="00617498" w:rsidRDefault="00617498" w:rsidP="00EE35AE">
      <w:pPr>
        <w:rPr>
          <w:rFonts w:ascii="Times New Roman" w:hAnsi="Times New Roman" w:cs="Times New Roman"/>
          <w:b/>
          <w:bCs/>
          <w:sz w:val="24"/>
          <w:szCs w:val="24"/>
        </w:rPr>
      </w:pPr>
    </w:p>
    <w:p w14:paraId="32978E5A" w14:textId="407EC461" w:rsidR="000772D0" w:rsidRDefault="004A5369" w:rsidP="004A5369">
      <w:pPr>
        <w:jc w:val="center"/>
        <w:rPr>
          <w:rFonts w:ascii="Times New Roman" w:hAnsi="Times New Roman" w:cs="Times New Roman"/>
          <w:b/>
          <w:bCs/>
          <w:sz w:val="24"/>
          <w:szCs w:val="24"/>
        </w:rPr>
      </w:pPr>
      <w:r>
        <w:rPr>
          <w:rFonts w:ascii="Times New Roman" w:hAnsi="Times New Roman" w:cs="Times New Roman"/>
          <w:b/>
          <w:bCs/>
          <w:sz w:val="24"/>
          <w:szCs w:val="24"/>
        </w:rPr>
        <w:t>OVERVIEW OF ENEL NORTH AMERICA</w:t>
      </w:r>
    </w:p>
    <w:p w14:paraId="5A40A251" w14:textId="77777777" w:rsidR="00CC46B9" w:rsidRPr="00F235C1" w:rsidRDefault="00CC46B9" w:rsidP="004A5369">
      <w:pPr>
        <w:jc w:val="center"/>
        <w:rPr>
          <w:rFonts w:ascii="Times New Roman" w:hAnsi="Times New Roman" w:cs="Times New Roman"/>
          <w:b/>
          <w:bCs/>
          <w:sz w:val="24"/>
          <w:szCs w:val="24"/>
        </w:rPr>
      </w:pPr>
    </w:p>
    <w:p w14:paraId="2EFD0C22" w14:textId="565740C9" w:rsidR="00FE7458" w:rsidRDefault="00C8421C" w:rsidP="00C8421C">
      <w:pPr>
        <w:spacing w:line="480" w:lineRule="auto"/>
        <w:ind w:firstLine="720"/>
        <w:rPr>
          <w:rFonts w:ascii="Times New Roman" w:hAnsi="Times New Roman" w:cs="Times New Roman"/>
        </w:rPr>
      </w:pPr>
      <w:r>
        <w:rPr>
          <w:rFonts w:ascii="Times New Roman" w:hAnsi="Times New Roman" w:cs="Times New Roman"/>
        </w:rPr>
        <w:t>Enel</w:t>
      </w:r>
      <w:r w:rsidR="008C52C0">
        <w:rPr>
          <w:rFonts w:ascii="Times New Roman" w:hAnsi="Times New Roman" w:cs="Times New Roman"/>
        </w:rPr>
        <w:t>, which celebrates its 60</w:t>
      </w:r>
      <w:r w:rsidR="008C52C0" w:rsidRPr="008C52C0">
        <w:rPr>
          <w:rFonts w:ascii="Times New Roman" w:hAnsi="Times New Roman" w:cs="Times New Roman"/>
          <w:vertAlign w:val="superscript"/>
        </w:rPr>
        <w:t>th</w:t>
      </w:r>
      <w:r w:rsidR="008C52C0">
        <w:rPr>
          <w:rFonts w:ascii="Times New Roman" w:hAnsi="Times New Roman" w:cs="Times New Roman"/>
        </w:rPr>
        <w:t xml:space="preserve"> anniversary this year, is a multinational power company and a leading integrated player in the global power and renewables markets.</w:t>
      </w:r>
    </w:p>
    <w:p w14:paraId="0FD414B4" w14:textId="09D12A84" w:rsidR="008C52C0" w:rsidRDefault="008C52C0" w:rsidP="00C8421C">
      <w:pPr>
        <w:spacing w:line="480" w:lineRule="auto"/>
        <w:ind w:firstLine="720"/>
        <w:rPr>
          <w:rFonts w:ascii="Times New Roman" w:hAnsi="Times New Roman" w:cs="Times New Roman"/>
        </w:rPr>
      </w:pPr>
      <w:r>
        <w:rPr>
          <w:rFonts w:ascii="Times New Roman" w:hAnsi="Times New Roman" w:cs="Times New Roman"/>
        </w:rPr>
        <w:t>In Texas, Enel has developed and operates more than 3,500 MWs of wind, solar, and battery resources. Enel also manages more than 100 MWs of resources participating in Emergency Response Service.</w:t>
      </w:r>
    </w:p>
    <w:p w14:paraId="3858C140" w14:textId="7CF7A8C0" w:rsidR="008C52C0" w:rsidRDefault="008C52C0" w:rsidP="00C8421C">
      <w:pPr>
        <w:spacing w:line="480" w:lineRule="auto"/>
        <w:ind w:firstLine="720"/>
        <w:rPr>
          <w:rFonts w:ascii="Times New Roman" w:hAnsi="Times New Roman" w:cs="Times New Roman"/>
        </w:rPr>
      </w:pPr>
      <w:r>
        <w:rPr>
          <w:rFonts w:ascii="Times New Roman" w:hAnsi="Times New Roman" w:cs="Times New Roman"/>
        </w:rPr>
        <w:t>At the global level, it is the largest renewable private player, the foremost network operator by number of end users and the biggest retail operator by customer base. The Group is the worldwide demand response leader and the largest European utility by ordinary EBITDA</w:t>
      </w:r>
      <w:r>
        <w:rPr>
          <w:rStyle w:val="FootnoteReference"/>
          <w:rFonts w:ascii="Times New Roman" w:hAnsi="Times New Roman" w:cs="Times New Roman"/>
        </w:rPr>
        <w:footnoteReference w:id="1"/>
      </w:r>
      <w:r>
        <w:rPr>
          <w:rFonts w:ascii="Times New Roman" w:hAnsi="Times New Roman" w:cs="Times New Roman"/>
        </w:rPr>
        <w:t>.</w:t>
      </w:r>
    </w:p>
    <w:p w14:paraId="4411BED1" w14:textId="04671A43" w:rsidR="008C52C0" w:rsidRDefault="008C52C0" w:rsidP="00C8421C">
      <w:pPr>
        <w:spacing w:line="480" w:lineRule="auto"/>
        <w:ind w:firstLine="720"/>
        <w:rPr>
          <w:rFonts w:ascii="Times New Roman" w:hAnsi="Times New Roman" w:cs="Times New Roman"/>
        </w:rPr>
      </w:pPr>
      <w:r>
        <w:rPr>
          <w:rFonts w:ascii="Times New Roman" w:hAnsi="Times New Roman" w:cs="Times New Roman"/>
        </w:rPr>
        <w:t>Enel is present in</w:t>
      </w:r>
      <w:r w:rsidR="003159C8">
        <w:rPr>
          <w:rFonts w:ascii="Times New Roman" w:hAnsi="Times New Roman" w:cs="Times New Roman"/>
        </w:rPr>
        <w:t xml:space="preserve"> 30 countries worldwide, producing energy with over 90 GW of total capacity.</w:t>
      </w:r>
    </w:p>
    <w:p w14:paraId="02672A33" w14:textId="632C0602" w:rsidR="003159C8" w:rsidRDefault="003159C8" w:rsidP="00C8421C">
      <w:pPr>
        <w:spacing w:line="480" w:lineRule="auto"/>
        <w:ind w:firstLine="720"/>
        <w:rPr>
          <w:rFonts w:ascii="Times New Roman" w:hAnsi="Times New Roman" w:cs="Times New Roman"/>
        </w:rPr>
      </w:pPr>
      <w:r>
        <w:rPr>
          <w:rFonts w:ascii="Times New Roman" w:hAnsi="Times New Roman" w:cs="Times New Roman"/>
        </w:rPr>
        <w:t>Enel distributes electricity through a network of over 2.2 million kilometers to more than 75 million end users. The Group brings energy to around 70 million homes and businesses. Enel’s renewables arm, Enel Green Power, has a total capacity of more than 54 GW and a generation mix that includes wind, solar, geothermal, and hydroelectric power, as well as energy storage facilities, insta</w:t>
      </w:r>
      <w:r w:rsidR="00E43AFD">
        <w:rPr>
          <w:rFonts w:ascii="Times New Roman" w:hAnsi="Times New Roman" w:cs="Times New Roman"/>
        </w:rPr>
        <w:t xml:space="preserve">lled in Europe, the Americas, Africa, Asia, and Oceania. Enel X Global Retail, Enel’s global advanced energy </w:t>
      </w:r>
      <w:r w:rsidR="00E43AFD">
        <w:rPr>
          <w:rFonts w:ascii="Times New Roman" w:hAnsi="Times New Roman" w:cs="Times New Roman"/>
        </w:rPr>
        <w:lastRenderedPageBreak/>
        <w:t xml:space="preserve">services business line, has a total capacity of around 6.6 GW of demand response managed globally and has installed 59 MW of behind-the-meter storage capacity. In addition, Enel X Way is the Group’s new global business line fully dedicated to electric mobility, managing nearly 350,000 public and private EV charging points worldwide, both directly and through interoperability agreements. </w:t>
      </w:r>
    </w:p>
    <w:p w14:paraId="2AEF55FE" w14:textId="77777777" w:rsidR="00CC46B9" w:rsidRPr="000767EB" w:rsidRDefault="00CC46B9" w:rsidP="00C8421C">
      <w:pPr>
        <w:spacing w:line="480" w:lineRule="auto"/>
        <w:ind w:firstLine="720"/>
        <w:rPr>
          <w:rFonts w:ascii="Times New Roman" w:hAnsi="Times New Roman" w:cs="Times New Roman"/>
        </w:rPr>
      </w:pPr>
    </w:p>
    <w:p w14:paraId="69D1C199" w14:textId="65181E48" w:rsidR="00FE7458" w:rsidRDefault="000767EB" w:rsidP="004A5369">
      <w:pPr>
        <w:jc w:val="center"/>
        <w:rPr>
          <w:rFonts w:ascii="Times New Roman" w:hAnsi="Times New Roman" w:cs="Times New Roman"/>
          <w:b/>
          <w:bCs/>
          <w:sz w:val="24"/>
          <w:szCs w:val="24"/>
        </w:rPr>
      </w:pPr>
      <w:r w:rsidRPr="003B4F12">
        <w:rPr>
          <w:rFonts w:ascii="Times New Roman" w:hAnsi="Times New Roman" w:cs="Times New Roman"/>
          <w:b/>
          <w:bCs/>
          <w:sz w:val="24"/>
          <w:szCs w:val="24"/>
        </w:rPr>
        <w:t>INTRODUCTION</w:t>
      </w:r>
    </w:p>
    <w:p w14:paraId="694EAC16" w14:textId="77777777" w:rsidR="00CC46B9" w:rsidRDefault="00CC46B9" w:rsidP="004A5369">
      <w:pPr>
        <w:jc w:val="center"/>
        <w:rPr>
          <w:rFonts w:ascii="Times New Roman" w:hAnsi="Times New Roman" w:cs="Times New Roman"/>
          <w:b/>
          <w:bCs/>
          <w:sz w:val="24"/>
          <w:szCs w:val="24"/>
        </w:rPr>
      </w:pPr>
    </w:p>
    <w:p w14:paraId="4418B3F1" w14:textId="59BF418F" w:rsidR="00DB235F" w:rsidRDefault="00DB235F" w:rsidP="00DB235F">
      <w:pPr>
        <w:spacing w:line="480" w:lineRule="auto"/>
        <w:rPr>
          <w:rFonts w:ascii="Times New Roman" w:hAnsi="Times New Roman" w:cs="Times New Roman"/>
        </w:rPr>
      </w:pPr>
      <w:r>
        <w:rPr>
          <w:rFonts w:ascii="Times New Roman" w:hAnsi="Times New Roman" w:cs="Times New Roman"/>
          <w:b/>
          <w:bCs/>
          <w:sz w:val="24"/>
          <w:szCs w:val="24"/>
        </w:rPr>
        <w:tab/>
      </w:r>
      <w:r>
        <w:rPr>
          <w:rFonts w:ascii="Times New Roman" w:hAnsi="Times New Roman" w:cs="Times New Roman"/>
        </w:rPr>
        <w:t xml:space="preserve">Enel appreciates the opportunity to provide feedback and comments on the staff questions relating to the </w:t>
      </w:r>
      <w:r w:rsidR="00AB09CB">
        <w:rPr>
          <w:rFonts w:ascii="Times New Roman" w:hAnsi="Times New Roman" w:cs="Times New Roman"/>
        </w:rPr>
        <w:t xml:space="preserve">market reform assessment prepared by E3. We devote </w:t>
      </w:r>
      <w:proofErr w:type="gramStart"/>
      <w:r w:rsidR="00AB09CB">
        <w:rPr>
          <w:rFonts w:ascii="Times New Roman" w:hAnsi="Times New Roman" w:cs="Times New Roman"/>
        </w:rPr>
        <w:t>the majority of</w:t>
      </w:r>
      <w:proofErr w:type="gramEnd"/>
      <w:r w:rsidR="00AB09CB">
        <w:rPr>
          <w:rFonts w:ascii="Times New Roman" w:hAnsi="Times New Roman" w:cs="Times New Roman"/>
        </w:rPr>
        <w:t xml:space="preserve"> </w:t>
      </w:r>
      <w:r w:rsidR="00791A36">
        <w:rPr>
          <w:rFonts w:ascii="Times New Roman" w:hAnsi="Times New Roman" w:cs="Times New Roman"/>
        </w:rPr>
        <w:t>our comments to feedback on the Dispatchable Energy Credit, (“DEC”) but also support the additional information and feedba</w:t>
      </w:r>
      <w:r w:rsidR="003B4F12">
        <w:rPr>
          <w:rFonts w:ascii="Times New Roman" w:hAnsi="Times New Roman" w:cs="Times New Roman"/>
        </w:rPr>
        <w:t xml:space="preserve">ck in </w:t>
      </w:r>
      <w:r w:rsidR="003B4F12" w:rsidRPr="00E16E84">
        <w:rPr>
          <w:rFonts w:ascii="Times New Roman" w:hAnsi="Times New Roman" w:cs="Times New Roman"/>
        </w:rPr>
        <w:t xml:space="preserve">the </w:t>
      </w:r>
      <w:r w:rsidR="00E16E84">
        <w:rPr>
          <w:rFonts w:ascii="Times New Roman" w:hAnsi="Times New Roman" w:cs="Times New Roman"/>
        </w:rPr>
        <w:t>Advanced Power Alliance and American Clean Power Comments</w:t>
      </w:r>
      <w:r w:rsidR="003458AE">
        <w:rPr>
          <w:rFonts w:ascii="Times New Roman" w:hAnsi="Times New Roman" w:cs="Times New Roman"/>
        </w:rPr>
        <w:t xml:space="preserve">. </w:t>
      </w:r>
      <w:r w:rsidR="00D4568E">
        <w:rPr>
          <w:rFonts w:ascii="Times New Roman" w:hAnsi="Times New Roman" w:cs="Times New Roman"/>
        </w:rPr>
        <w:t>We do not have separate answers for questions 1-10.</w:t>
      </w:r>
    </w:p>
    <w:p w14:paraId="1F5FCB37" w14:textId="209D71F5" w:rsidR="003B4F12" w:rsidRDefault="003B4F12" w:rsidP="00DB235F">
      <w:pPr>
        <w:spacing w:line="480" w:lineRule="auto"/>
        <w:rPr>
          <w:rFonts w:ascii="Times New Roman" w:hAnsi="Times New Roman" w:cs="Times New Roman"/>
        </w:rPr>
      </w:pPr>
      <w:r>
        <w:rPr>
          <w:rFonts w:ascii="Times New Roman" w:hAnsi="Times New Roman" w:cs="Times New Roman"/>
        </w:rPr>
        <w:tab/>
        <w:t xml:space="preserve">First and foremost, </w:t>
      </w:r>
      <w:r w:rsidR="006079CF">
        <w:rPr>
          <w:rFonts w:ascii="Times New Roman" w:hAnsi="Times New Roman" w:cs="Times New Roman"/>
        </w:rPr>
        <w:t xml:space="preserve">Enel </w:t>
      </w:r>
      <w:r w:rsidR="001636AC">
        <w:rPr>
          <w:rFonts w:ascii="Times New Roman" w:hAnsi="Times New Roman" w:cs="Times New Roman"/>
        </w:rPr>
        <w:t xml:space="preserve">believes that there are fundamental flaws with the E3 analysis that call into question the results from their analysis. Enel strongly believes that the </w:t>
      </w:r>
      <w:r w:rsidR="00C65890">
        <w:rPr>
          <w:rFonts w:ascii="Times New Roman" w:hAnsi="Times New Roman" w:cs="Times New Roman"/>
        </w:rPr>
        <w:t xml:space="preserve">top priority of the Commission, </w:t>
      </w:r>
      <w:proofErr w:type="gramStart"/>
      <w:r w:rsidR="00C65890">
        <w:rPr>
          <w:rFonts w:ascii="Times New Roman" w:hAnsi="Times New Roman" w:cs="Times New Roman"/>
        </w:rPr>
        <w:t>at the moment</w:t>
      </w:r>
      <w:proofErr w:type="gramEnd"/>
      <w:r w:rsidR="00C65890">
        <w:rPr>
          <w:rFonts w:ascii="Times New Roman" w:hAnsi="Times New Roman" w:cs="Times New Roman"/>
        </w:rPr>
        <w:t xml:space="preserve">, should be defining the reliability </w:t>
      </w:r>
      <w:r w:rsidR="00D43BC1">
        <w:rPr>
          <w:rFonts w:ascii="Times New Roman" w:hAnsi="Times New Roman" w:cs="Times New Roman"/>
        </w:rPr>
        <w:t xml:space="preserve">problem </w:t>
      </w:r>
      <w:r w:rsidR="00353B56">
        <w:rPr>
          <w:rFonts w:ascii="Times New Roman" w:hAnsi="Times New Roman" w:cs="Times New Roman"/>
        </w:rPr>
        <w:t xml:space="preserve">or issue they are attempting to address with market design changes. Until there is a clear question the Commission is trying to solve for, there will continue to be a lack of consensus among various stakeholders </w:t>
      </w:r>
      <w:r w:rsidR="00AD797F">
        <w:rPr>
          <w:rFonts w:ascii="Times New Roman" w:hAnsi="Times New Roman" w:cs="Times New Roman"/>
        </w:rPr>
        <w:t>on</w:t>
      </w:r>
      <w:r w:rsidR="00353B56">
        <w:rPr>
          <w:rFonts w:ascii="Times New Roman" w:hAnsi="Times New Roman" w:cs="Times New Roman"/>
        </w:rPr>
        <w:t xml:space="preserve"> how we </w:t>
      </w:r>
      <w:r w:rsidR="0003111A">
        <w:rPr>
          <w:rFonts w:ascii="Times New Roman" w:hAnsi="Times New Roman" w:cs="Times New Roman"/>
        </w:rPr>
        <w:t xml:space="preserve">best design the grid of the future here in Texas. </w:t>
      </w:r>
    </w:p>
    <w:p w14:paraId="6FC75D56" w14:textId="77777777" w:rsidR="00CC46B9" w:rsidRPr="00DB235F" w:rsidRDefault="00CC46B9" w:rsidP="00DB235F">
      <w:pPr>
        <w:spacing w:line="480" w:lineRule="auto"/>
        <w:rPr>
          <w:rFonts w:ascii="Times New Roman" w:hAnsi="Times New Roman" w:cs="Times New Roman"/>
        </w:rPr>
      </w:pPr>
    </w:p>
    <w:p w14:paraId="0B674C90" w14:textId="4E54B1D7" w:rsidR="00902AE8" w:rsidRDefault="003730D8" w:rsidP="004A5369">
      <w:pPr>
        <w:jc w:val="center"/>
        <w:rPr>
          <w:rFonts w:ascii="Times New Roman" w:hAnsi="Times New Roman" w:cs="Times New Roman"/>
          <w:b/>
          <w:bCs/>
          <w:sz w:val="24"/>
          <w:szCs w:val="24"/>
        </w:rPr>
      </w:pPr>
      <w:r>
        <w:rPr>
          <w:rFonts w:ascii="Times New Roman" w:hAnsi="Times New Roman" w:cs="Times New Roman"/>
          <w:b/>
          <w:bCs/>
          <w:sz w:val="24"/>
          <w:szCs w:val="24"/>
        </w:rPr>
        <w:t>COMMENTS ON PUCT QUESTIONS</w:t>
      </w:r>
    </w:p>
    <w:p w14:paraId="223759DA" w14:textId="77777777" w:rsidR="00CC46B9" w:rsidRPr="00902AE8" w:rsidRDefault="00CC46B9" w:rsidP="004A5369">
      <w:pPr>
        <w:jc w:val="center"/>
        <w:rPr>
          <w:rFonts w:ascii="Times New Roman" w:hAnsi="Times New Roman" w:cs="Times New Roman"/>
          <w:b/>
          <w:bCs/>
          <w:sz w:val="24"/>
          <w:szCs w:val="24"/>
        </w:rPr>
      </w:pPr>
    </w:p>
    <w:p w14:paraId="15FCF003" w14:textId="1C1E6017" w:rsidR="0086511E" w:rsidRPr="001B6673" w:rsidRDefault="0086511E" w:rsidP="001B6673">
      <w:pPr>
        <w:pStyle w:val="ListParagraph"/>
        <w:numPr>
          <w:ilvl w:val="0"/>
          <w:numId w:val="2"/>
        </w:numPr>
        <w:rPr>
          <w:rFonts w:ascii="Times New Roman" w:hAnsi="Times New Roman" w:cs="Times New Roman"/>
          <w:b/>
          <w:bCs/>
        </w:rPr>
      </w:pPr>
      <w:r w:rsidRPr="001B6673">
        <w:rPr>
          <w:rFonts w:ascii="Times New Roman" w:hAnsi="Times New Roman" w:cs="Times New Roman"/>
          <w:b/>
          <w:bCs/>
        </w:rPr>
        <w:t>What is the fastest and most efficient manner to build a “bridge” product or service, such as the BRS, in order to start sending market signals for investment in new and dispatchable generation, while a multiple-year market design is implemented by ERCOT? Please provide specific steps.</w:t>
      </w:r>
    </w:p>
    <w:p w14:paraId="526ED6A1" w14:textId="7FDC182D" w:rsidR="00FE7458" w:rsidRDefault="007C4BE9" w:rsidP="007C4BE9">
      <w:pPr>
        <w:spacing w:line="480" w:lineRule="auto"/>
        <w:ind w:left="360" w:firstLine="360"/>
        <w:rPr>
          <w:rFonts w:ascii="Times New Roman" w:hAnsi="Times New Roman" w:cs="Times New Roman"/>
        </w:rPr>
      </w:pPr>
      <w:r>
        <w:rPr>
          <w:rFonts w:ascii="Times New Roman" w:hAnsi="Times New Roman" w:cs="Times New Roman"/>
        </w:rPr>
        <w:lastRenderedPageBreak/>
        <w:t xml:space="preserve">The fastest and most efficient way to improve reliability and send market signals for investment is to utilize and enhance existing products. </w:t>
      </w:r>
    </w:p>
    <w:p w14:paraId="5F37C17D" w14:textId="335318E3" w:rsidR="0023610E" w:rsidRDefault="00EE654E" w:rsidP="007C4BE9">
      <w:pPr>
        <w:spacing w:line="480" w:lineRule="auto"/>
        <w:ind w:left="360" w:firstLine="360"/>
        <w:rPr>
          <w:rFonts w:ascii="Times New Roman" w:hAnsi="Times New Roman" w:cs="Times New Roman"/>
        </w:rPr>
      </w:pPr>
      <w:r>
        <w:rPr>
          <w:rFonts w:ascii="Times New Roman" w:hAnsi="Times New Roman" w:cs="Times New Roman"/>
        </w:rPr>
        <w:t xml:space="preserve">For example, </w:t>
      </w:r>
      <w:r w:rsidR="0023610E">
        <w:rPr>
          <w:rFonts w:ascii="Times New Roman" w:hAnsi="Times New Roman" w:cs="Times New Roman"/>
        </w:rPr>
        <w:t>Regulation Up (“Reg Up</w:t>
      </w:r>
      <w:r w:rsidR="001A47BC">
        <w:rPr>
          <w:rFonts w:ascii="Times New Roman" w:hAnsi="Times New Roman" w:cs="Times New Roman"/>
        </w:rPr>
        <w:t xml:space="preserve">”) </w:t>
      </w:r>
      <w:r w:rsidR="0023610E">
        <w:rPr>
          <w:rFonts w:ascii="Times New Roman" w:hAnsi="Times New Roman" w:cs="Times New Roman"/>
        </w:rPr>
        <w:t>and Regulation Down</w:t>
      </w:r>
      <w:r w:rsidR="001A47BC">
        <w:rPr>
          <w:rFonts w:ascii="Times New Roman" w:hAnsi="Times New Roman" w:cs="Times New Roman"/>
        </w:rPr>
        <w:t xml:space="preserve"> (“Reg Down”)</w:t>
      </w:r>
      <w:r w:rsidR="002F7933">
        <w:rPr>
          <w:rFonts w:ascii="Times New Roman" w:hAnsi="Times New Roman" w:cs="Times New Roman"/>
        </w:rPr>
        <w:t xml:space="preserve"> provide an essential service that allows ERCOT to maintain frequency by deploying resources that can respond in 4 seconds. ERCOT has started to note that regulation service is nearly being exhausted in certain hours. </w:t>
      </w:r>
      <w:r w:rsidR="00C2676A">
        <w:rPr>
          <w:rFonts w:ascii="Times New Roman" w:hAnsi="Times New Roman" w:cs="Times New Roman"/>
        </w:rPr>
        <w:t xml:space="preserve">Increasing procurement would also send a single to dispatchable generation to continue to invest in reasons that provide this product. </w:t>
      </w:r>
    </w:p>
    <w:p w14:paraId="1F0DC2B6" w14:textId="31448AAD" w:rsidR="00C2676A" w:rsidRDefault="00C2676A" w:rsidP="007C4BE9">
      <w:pPr>
        <w:spacing w:line="480" w:lineRule="auto"/>
        <w:ind w:left="360" w:firstLine="360"/>
        <w:rPr>
          <w:rFonts w:ascii="Times New Roman" w:hAnsi="Times New Roman" w:cs="Times New Roman"/>
        </w:rPr>
      </w:pPr>
      <w:r>
        <w:rPr>
          <w:rFonts w:ascii="Times New Roman" w:hAnsi="Times New Roman" w:cs="Times New Roman"/>
        </w:rPr>
        <w:t>Enel appreciates the PUCT</w:t>
      </w:r>
      <w:r w:rsidR="006967A4">
        <w:rPr>
          <w:rFonts w:ascii="Times New Roman" w:hAnsi="Times New Roman" w:cs="Times New Roman"/>
        </w:rPr>
        <w:t>’s past actions to enhance existing products</w:t>
      </w:r>
      <w:r w:rsidR="003F4135">
        <w:rPr>
          <w:rFonts w:ascii="Times New Roman" w:hAnsi="Times New Roman" w:cs="Times New Roman"/>
        </w:rPr>
        <w:t>, especially</w:t>
      </w:r>
      <w:r>
        <w:rPr>
          <w:rFonts w:ascii="Times New Roman" w:hAnsi="Times New Roman" w:cs="Times New Roman"/>
        </w:rPr>
        <w:t xml:space="preserve"> increasing the Emergency Response Service (ERS)</w:t>
      </w:r>
      <w:r w:rsidR="00531DA6">
        <w:rPr>
          <w:rFonts w:ascii="Times New Roman" w:hAnsi="Times New Roman" w:cs="Times New Roman"/>
        </w:rPr>
        <w:t xml:space="preserve"> budget. Enel encourages the PUCT to consider additional improvements, such as procuring a minimum amount of ERS, and creating opportunities for resources with longer lead times to participate in ERS. These are resources that are already in Texas and could be operated to support ERCOT reliability </w:t>
      </w:r>
      <w:r w:rsidR="003F4135">
        <w:rPr>
          <w:rFonts w:ascii="Times New Roman" w:hAnsi="Times New Roman" w:cs="Times New Roman"/>
        </w:rPr>
        <w:t xml:space="preserve">if they were </w:t>
      </w:r>
      <w:r w:rsidR="00531DA6">
        <w:rPr>
          <w:rFonts w:ascii="Times New Roman" w:hAnsi="Times New Roman" w:cs="Times New Roman"/>
        </w:rPr>
        <w:t xml:space="preserve">given the correct incentives. </w:t>
      </w:r>
    </w:p>
    <w:p w14:paraId="7AAEA185" w14:textId="6C18CED1" w:rsidR="009F0553" w:rsidRDefault="009F0553" w:rsidP="007C4BE9">
      <w:pPr>
        <w:spacing w:line="480" w:lineRule="auto"/>
        <w:ind w:left="360" w:firstLine="360"/>
        <w:rPr>
          <w:rFonts w:ascii="Times New Roman" w:hAnsi="Times New Roman" w:cs="Times New Roman"/>
        </w:rPr>
      </w:pPr>
      <w:r>
        <w:rPr>
          <w:rFonts w:ascii="Times New Roman" w:hAnsi="Times New Roman" w:cs="Times New Roman"/>
        </w:rPr>
        <w:t xml:space="preserve">These solutions may not be </w:t>
      </w:r>
      <w:r w:rsidR="0066132D">
        <w:rPr>
          <w:rFonts w:ascii="Times New Roman" w:hAnsi="Times New Roman" w:cs="Times New Roman"/>
        </w:rPr>
        <w:t>all-encompassing</w:t>
      </w:r>
      <w:r>
        <w:rPr>
          <w:rFonts w:ascii="Times New Roman" w:hAnsi="Times New Roman" w:cs="Times New Roman"/>
        </w:rPr>
        <w:t>.</w:t>
      </w:r>
      <w:r w:rsidR="0066132D">
        <w:rPr>
          <w:rFonts w:ascii="Times New Roman" w:hAnsi="Times New Roman" w:cs="Times New Roman"/>
        </w:rPr>
        <w:t xml:space="preserve"> However, Enel recommends taking full advantage of all resources before investing in additional products. </w:t>
      </w:r>
    </w:p>
    <w:p w14:paraId="612B912C" w14:textId="77777777" w:rsidR="007C4BE9" w:rsidRPr="00BF6DFC" w:rsidRDefault="007C4BE9" w:rsidP="00FE7458">
      <w:pPr>
        <w:rPr>
          <w:rFonts w:ascii="Times New Roman" w:hAnsi="Times New Roman" w:cs="Times New Roman"/>
        </w:rPr>
      </w:pPr>
    </w:p>
    <w:p w14:paraId="0D3B92F8" w14:textId="57DDAD99" w:rsidR="0086511E" w:rsidRPr="001B6673" w:rsidRDefault="0086511E" w:rsidP="001B6673">
      <w:pPr>
        <w:pStyle w:val="ListParagraph"/>
        <w:numPr>
          <w:ilvl w:val="0"/>
          <w:numId w:val="2"/>
        </w:numPr>
        <w:rPr>
          <w:rFonts w:ascii="Times New Roman" w:hAnsi="Times New Roman" w:cs="Times New Roman"/>
          <w:b/>
          <w:bCs/>
        </w:rPr>
      </w:pPr>
      <w:r w:rsidRPr="001B6673">
        <w:rPr>
          <w:rFonts w:ascii="Times New Roman" w:hAnsi="Times New Roman" w:cs="Times New Roman"/>
          <w:b/>
          <w:bCs/>
        </w:rPr>
        <w:t xml:space="preserve">In what ways could the Dispatchable Energy Credit (DEC) design be modified through quantity and resource eligibility requirements, </w:t>
      </w:r>
      <w:proofErr w:type="gramStart"/>
      <w:r w:rsidRPr="001B6673">
        <w:rPr>
          <w:rFonts w:ascii="Times New Roman" w:hAnsi="Times New Roman" w:cs="Times New Roman"/>
          <w:b/>
          <w:bCs/>
        </w:rPr>
        <w:t>e.g.</w:t>
      </w:r>
      <w:proofErr w:type="gramEnd"/>
      <w:r w:rsidRPr="001B6673">
        <w:rPr>
          <w:rFonts w:ascii="Times New Roman" w:hAnsi="Times New Roman" w:cs="Times New Roman"/>
          <w:b/>
          <w:bCs/>
        </w:rPr>
        <w:t xml:space="preserve"> new technology such as small modular reactors, in such a way that it incentivizes new and dispatchable generation?</w:t>
      </w:r>
    </w:p>
    <w:p w14:paraId="54BE7E56" w14:textId="1D5C8EF9" w:rsidR="00C31B0B" w:rsidRDefault="00D8691A" w:rsidP="00D8691A">
      <w:pPr>
        <w:spacing w:line="480" w:lineRule="auto"/>
        <w:ind w:left="360" w:firstLine="360"/>
        <w:rPr>
          <w:rFonts w:ascii="Times New Roman" w:hAnsi="Times New Roman" w:cs="Times New Roman"/>
        </w:rPr>
      </w:pPr>
      <w:r>
        <w:rPr>
          <w:rFonts w:ascii="Times New Roman" w:hAnsi="Times New Roman" w:cs="Times New Roman"/>
        </w:rPr>
        <w:t>As is laid out in the E3 Report, the design of the Dispatchable Energy Credit (“DEC”) does not accurately reflect the</w:t>
      </w:r>
      <w:r w:rsidR="007472B1">
        <w:rPr>
          <w:rFonts w:ascii="Times New Roman" w:hAnsi="Times New Roman" w:cs="Times New Roman"/>
        </w:rPr>
        <w:t xml:space="preserve"> host of “dispatchable” resources that could be maximized in order to provide </w:t>
      </w:r>
      <w:r w:rsidR="00AD4B29">
        <w:rPr>
          <w:rFonts w:ascii="Times New Roman" w:hAnsi="Times New Roman" w:cs="Times New Roman"/>
        </w:rPr>
        <w:t xml:space="preserve">benefit to Texan consumers. As is currently designed, the DEC is focused on thermal resources and does not show significant cost savings, rather </w:t>
      </w:r>
      <w:r w:rsidR="00D56EF4">
        <w:rPr>
          <w:rFonts w:ascii="Times New Roman" w:hAnsi="Times New Roman" w:cs="Times New Roman"/>
        </w:rPr>
        <w:t xml:space="preserve">it appears to be a costly program to implement. </w:t>
      </w:r>
      <w:r w:rsidR="00AA0554">
        <w:rPr>
          <w:rFonts w:ascii="Times New Roman" w:hAnsi="Times New Roman" w:cs="Times New Roman"/>
        </w:rPr>
        <w:t>The report lays out</w:t>
      </w:r>
      <w:r w:rsidR="00C31B0B">
        <w:rPr>
          <w:rFonts w:ascii="Times New Roman" w:hAnsi="Times New Roman" w:cs="Times New Roman"/>
        </w:rPr>
        <w:t xml:space="preserve"> </w:t>
      </w:r>
      <w:r w:rsidR="00AA0554">
        <w:rPr>
          <w:rFonts w:ascii="Times New Roman" w:hAnsi="Times New Roman" w:cs="Times New Roman"/>
        </w:rPr>
        <w:t>a</w:t>
      </w:r>
      <w:r w:rsidR="00C31B0B">
        <w:rPr>
          <w:rFonts w:ascii="Times New Roman" w:hAnsi="Times New Roman" w:cs="Times New Roman"/>
        </w:rPr>
        <w:t xml:space="preserve"> generation duration requirement of 48 hours</w:t>
      </w:r>
      <w:r w:rsidR="00221D8C">
        <w:rPr>
          <w:rStyle w:val="FootnoteReference"/>
          <w:rFonts w:ascii="Times New Roman" w:hAnsi="Times New Roman" w:cs="Times New Roman"/>
        </w:rPr>
        <w:footnoteReference w:id="2"/>
      </w:r>
      <w:r w:rsidR="00AA0554">
        <w:rPr>
          <w:rFonts w:ascii="Times New Roman" w:hAnsi="Times New Roman" w:cs="Times New Roman"/>
        </w:rPr>
        <w:t xml:space="preserve"> in order to qualify as an eligible resource for the DEC which clearly favors thermal generation resources. </w:t>
      </w:r>
    </w:p>
    <w:p w14:paraId="54951432" w14:textId="14DB89C8" w:rsidR="0003111A" w:rsidRDefault="00DE2006" w:rsidP="00D8691A">
      <w:pPr>
        <w:spacing w:line="480" w:lineRule="auto"/>
        <w:ind w:left="360" w:firstLine="360"/>
        <w:rPr>
          <w:rFonts w:ascii="Times New Roman" w:hAnsi="Times New Roman" w:cs="Times New Roman"/>
        </w:rPr>
      </w:pPr>
      <w:r>
        <w:rPr>
          <w:rFonts w:ascii="Times New Roman" w:hAnsi="Times New Roman" w:cs="Times New Roman"/>
        </w:rPr>
        <w:lastRenderedPageBreak/>
        <w:t>It is not clear why the E3 report</w:t>
      </w:r>
      <w:r w:rsidR="0062678B">
        <w:rPr>
          <w:rFonts w:ascii="Times New Roman" w:hAnsi="Times New Roman" w:cs="Times New Roman"/>
        </w:rPr>
        <w:t xml:space="preserve">’s DEC </w:t>
      </w:r>
      <w:r>
        <w:rPr>
          <w:rFonts w:ascii="Times New Roman" w:hAnsi="Times New Roman" w:cs="Times New Roman"/>
        </w:rPr>
        <w:t>diverged from</w:t>
      </w:r>
      <w:r w:rsidR="0062678B">
        <w:rPr>
          <w:rFonts w:ascii="Times New Roman" w:hAnsi="Times New Roman" w:cs="Times New Roman"/>
        </w:rPr>
        <w:t xml:space="preserve"> the design in</w:t>
      </w:r>
      <w:r>
        <w:rPr>
          <w:rFonts w:ascii="Times New Roman" w:hAnsi="Times New Roman" w:cs="Times New Roman"/>
        </w:rPr>
        <w:t xml:space="preserve"> Commissioner McAdams’ November 17, </w:t>
      </w:r>
      <w:proofErr w:type="gramStart"/>
      <w:r>
        <w:rPr>
          <w:rFonts w:ascii="Times New Roman" w:hAnsi="Times New Roman" w:cs="Times New Roman"/>
        </w:rPr>
        <w:t>2021</w:t>
      </w:r>
      <w:proofErr w:type="gramEnd"/>
      <w:r>
        <w:rPr>
          <w:rFonts w:ascii="Times New Roman" w:hAnsi="Times New Roman" w:cs="Times New Roman"/>
        </w:rPr>
        <w:t xml:space="preserve"> </w:t>
      </w:r>
      <w:r w:rsidR="00B7775E">
        <w:rPr>
          <w:rFonts w:ascii="Times New Roman" w:hAnsi="Times New Roman" w:cs="Times New Roman"/>
        </w:rPr>
        <w:t>Memo</w:t>
      </w:r>
      <w:r w:rsidR="0062678B">
        <w:rPr>
          <w:rFonts w:ascii="Times New Roman" w:hAnsi="Times New Roman" w:cs="Times New Roman"/>
        </w:rPr>
        <w:t xml:space="preserve">, but whatever the reason may be, </w:t>
      </w:r>
      <w:r w:rsidR="00A31154">
        <w:rPr>
          <w:rFonts w:ascii="Times New Roman" w:hAnsi="Times New Roman" w:cs="Times New Roman"/>
        </w:rPr>
        <w:t>in order to analyze the true impact a DEC product may have on the market, it should be aligned with the design from the November memo. In this memo</w:t>
      </w:r>
      <w:r w:rsidR="00910534">
        <w:rPr>
          <w:rFonts w:ascii="Times New Roman" w:hAnsi="Times New Roman" w:cs="Times New Roman"/>
        </w:rPr>
        <w:t>,</w:t>
      </w:r>
      <w:r w:rsidR="00A31154">
        <w:rPr>
          <w:rFonts w:ascii="Times New Roman" w:hAnsi="Times New Roman" w:cs="Times New Roman"/>
        </w:rPr>
        <w:t xml:space="preserve"> Commissioner Adams </w:t>
      </w:r>
      <w:r w:rsidR="00910534">
        <w:rPr>
          <w:rFonts w:ascii="Times New Roman" w:hAnsi="Times New Roman" w:cs="Times New Roman"/>
        </w:rPr>
        <w:t>laid</w:t>
      </w:r>
      <w:r w:rsidR="00A31154">
        <w:rPr>
          <w:rFonts w:ascii="Times New Roman" w:hAnsi="Times New Roman" w:cs="Times New Roman"/>
        </w:rPr>
        <w:t xml:space="preserve"> out a product </w:t>
      </w:r>
      <w:r w:rsidR="00DC3BFF">
        <w:rPr>
          <w:rFonts w:ascii="Times New Roman" w:hAnsi="Times New Roman" w:cs="Times New Roman"/>
        </w:rPr>
        <w:t>with</w:t>
      </w:r>
      <w:r w:rsidR="00910534">
        <w:rPr>
          <w:rFonts w:ascii="Times New Roman" w:hAnsi="Times New Roman" w:cs="Times New Roman"/>
        </w:rPr>
        <w:t xml:space="preserve"> eligibility requirements </w:t>
      </w:r>
      <w:r w:rsidR="00DC3BFF">
        <w:rPr>
          <w:rFonts w:ascii="Times New Roman" w:hAnsi="Times New Roman" w:cs="Times New Roman"/>
        </w:rPr>
        <w:t>that included the ability to “ramp to full nameplate capacity within 5 minutes or less and have a net facility specification heat rate less than or equal to 8,000 Btu/kWh, or a battery that can discharge for at least 2 hours</w:t>
      </w:r>
      <w:r w:rsidR="00DC3BFF">
        <w:rPr>
          <w:rStyle w:val="FootnoteReference"/>
          <w:rFonts w:ascii="Times New Roman" w:hAnsi="Times New Roman" w:cs="Times New Roman"/>
        </w:rPr>
        <w:footnoteReference w:id="3"/>
      </w:r>
      <w:r w:rsidR="008C3E3D">
        <w:rPr>
          <w:rFonts w:ascii="Times New Roman" w:hAnsi="Times New Roman" w:cs="Times New Roman"/>
        </w:rPr>
        <w:t>. As designed in the E3 report, there is a minimum duration of 48 hours</w:t>
      </w:r>
      <w:r w:rsidR="00842F9D">
        <w:rPr>
          <w:rFonts w:ascii="Times New Roman" w:hAnsi="Times New Roman" w:cs="Times New Roman"/>
        </w:rPr>
        <w:t>,</w:t>
      </w:r>
      <w:r w:rsidR="008C3E3D">
        <w:rPr>
          <w:rStyle w:val="FootnoteReference"/>
          <w:rFonts w:ascii="Times New Roman" w:hAnsi="Times New Roman" w:cs="Times New Roman"/>
        </w:rPr>
        <w:footnoteReference w:id="4"/>
      </w:r>
      <w:r w:rsidR="00842F9D">
        <w:rPr>
          <w:rFonts w:ascii="Times New Roman" w:hAnsi="Times New Roman" w:cs="Times New Roman"/>
        </w:rPr>
        <w:t xml:space="preserve"> which would limit the variety of resources that would be eligible to participate. Importantly, these two DEC products are clearly designed to </w:t>
      </w:r>
      <w:r w:rsidR="008C5E14">
        <w:rPr>
          <w:rFonts w:ascii="Times New Roman" w:hAnsi="Times New Roman" w:cs="Times New Roman"/>
        </w:rPr>
        <w:t xml:space="preserve">solve different operational and reliability challenges. In designing the grid of the future, it is important to consider fast-ramping resources that can be deployed in a time-efficient manner. These resources don’t often need to provide support beyond a 2-hour ramping period, and so as E3 has designed a 48-hour product, this is not a cost-effective way to address reliability. </w:t>
      </w:r>
    </w:p>
    <w:p w14:paraId="45418151" w14:textId="7B47E7E0" w:rsidR="008C5E14" w:rsidRDefault="008C5E14" w:rsidP="00D8691A">
      <w:pPr>
        <w:spacing w:line="480" w:lineRule="auto"/>
        <w:ind w:left="360" w:firstLine="360"/>
        <w:rPr>
          <w:rFonts w:ascii="Times New Roman" w:hAnsi="Times New Roman" w:cs="Times New Roman"/>
        </w:rPr>
      </w:pPr>
      <w:r>
        <w:rPr>
          <w:rFonts w:ascii="Times New Roman" w:hAnsi="Times New Roman" w:cs="Times New Roman"/>
        </w:rPr>
        <w:t xml:space="preserve">Demand response has proven its value to the Texas grid time and time again, and battery resources are being built and deployed at rapid rates. Both batteries and demand response stand to pose a critical role in operational flexibility and can provide significant cost savings to Texas consumers while increasing reliability and resiliency. </w:t>
      </w:r>
    </w:p>
    <w:p w14:paraId="10976F05" w14:textId="3CC81490" w:rsidR="008C5E14" w:rsidRDefault="008C5E14" w:rsidP="00D8691A">
      <w:pPr>
        <w:spacing w:line="480" w:lineRule="auto"/>
        <w:ind w:left="360" w:firstLine="360"/>
        <w:rPr>
          <w:rFonts w:ascii="Times New Roman" w:hAnsi="Times New Roman" w:cs="Times New Roman"/>
        </w:rPr>
      </w:pPr>
      <w:r>
        <w:rPr>
          <w:rFonts w:ascii="Times New Roman" w:hAnsi="Times New Roman" w:cs="Times New Roman"/>
        </w:rPr>
        <w:t xml:space="preserve">Not exclusive to the analysis of the DEC, but rather the discussion of market design issues as a whole, </w:t>
      </w:r>
      <w:proofErr w:type="gramStart"/>
      <w:r>
        <w:rPr>
          <w:rFonts w:ascii="Times New Roman" w:hAnsi="Times New Roman" w:cs="Times New Roman"/>
        </w:rPr>
        <w:t>it is clear that the</w:t>
      </w:r>
      <w:proofErr w:type="gramEnd"/>
      <w:r>
        <w:rPr>
          <w:rFonts w:ascii="Times New Roman" w:hAnsi="Times New Roman" w:cs="Times New Roman"/>
        </w:rPr>
        <w:t xml:space="preserve"> majority of the problems that are currently facing the Texas grid are operational challenges. The DEC option is uniquely capable of addressing these problems. DEC procures resources that solve real-time operational challenges and procures a minimum amount of these resources to ensure they will be available to the market in the </w:t>
      </w:r>
      <w:r w:rsidR="00B5388A">
        <w:rPr>
          <w:rFonts w:ascii="Times New Roman" w:hAnsi="Times New Roman" w:cs="Times New Roman"/>
        </w:rPr>
        <w:t>long term</w:t>
      </w:r>
      <w:r>
        <w:rPr>
          <w:rFonts w:ascii="Times New Roman" w:hAnsi="Times New Roman" w:cs="Times New Roman"/>
        </w:rPr>
        <w:t xml:space="preserve">. </w:t>
      </w:r>
    </w:p>
    <w:p w14:paraId="66459FDE" w14:textId="7A222BF2" w:rsidR="004A5369" w:rsidRDefault="003730D8" w:rsidP="003730D8">
      <w:pPr>
        <w:spacing w:line="480" w:lineRule="auto"/>
        <w:ind w:left="360" w:firstLine="360"/>
        <w:jc w:val="center"/>
        <w:rPr>
          <w:rFonts w:ascii="Times New Roman" w:hAnsi="Times New Roman" w:cs="Times New Roman"/>
          <w:b/>
          <w:bCs/>
          <w:sz w:val="24"/>
          <w:szCs w:val="24"/>
        </w:rPr>
      </w:pPr>
      <w:r w:rsidRPr="003730D8">
        <w:rPr>
          <w:rFonts w:ascii="Times New Roman" w:hAnsi="Times New Roman" w:cs="Times New Roman"/>
          <w:b/>
          <w:bCs/>
          <w:sz w:val="24"/>
          <w:szCs w:val="24"/>
        </w:rPr>
        <w:lastRenderedPageBreak/>
        <w:t>CONCLUSION</w:t>
      </w:r>
    </w:p>
    <w:p w14:paraId="0BFCDB7A" w14:textId="1DA8FFC6" w:rsidR="003730D8" w:rsidRPr="003730D8" w:rsidRDefault="003730D8" w:rsidP="003730D8">
      <w:pPr>
        <w:spacing w:line="480" w:lineRule="auto"/>
        <w:rPr>
          <w:rFonts w:ascii="Times New Roman" w:hAnsi="Times New Roman" w:cs="Times New Roman"/>
        </w:rPr>
      </w:pPr>
      <w:r>
        <w:rPr>
          <w:rFonts w:ascii="Times New Roman" w:hAnsi="Times New Roman" w:cs="Times New Roman"/>
          <w:b/>
          <w:bCs/>
          <w:sz w:val="24"/>
          <w:szCs w:val="24"/>
        </w:rPr>
        <w:tab/>
      </w:r>
      <w:r>
        <w:rPr>
          <w:rFonts w:ascii="Times New Roman" w:hAnsi="Times New Roman" w:cs="Times New Roman"/>
        </w:rPr>
        <w:t>Enel appreciates the o</w:t>
      </w:r>
      <w:r w:rsidR="006A495F">
        <w:rPr>
          <w:rFonts w:ascii="Times New Roman" w:hAnsi="Times New Roman" w:cs="Times New Roman"/>
        </w:rPr>
        <w:t xml:space="preserve">pportunity to provide feedback to the Commission on the E3 report and questions on the next phase of </w:t>
      </w:r>
      <w:r w:rsidR="008C5E14">
        <w:rPr>
          <w:rFonts w:ascii="Times New Roman" w:hAnsi="Times New Roman" w:cs="Times New Roman"/>
        </w:rPr>
        <w:t>m</w:t>
      </w:r>
      <w:r w:rsidR="006A495F">
        <w:rPr>
          <w:rFonts w:ascii="Times New Roman" w:hAnsi="Times New Roman" w:cs="Times New Roman"/>
        </w:rPr>
        <w:t xml:space="preserve">arket </w:t>
      </w:r>
      <w:r w:rsidR="008C5E14">
        <w:rPr>
          <w:rFonts w:ascii="Times New Roman" w:hAnsi="Times New Roman" w:cs="Times New Roman"/>
        </w:rPr>
        <w:t>d</w:t>
      </w:r>
      <w:r w:rsidR="006A495F">
        <w:rPr>
          <w:rFonts w:ascii="Times New Roman" w:hAnsi="Times New Roman" w:cs="Times New Roman"/>
        </w:rPr>
        <w:t xml:space="preserve">esign efforts in Texas. Enel urges the Commission to </w:t>
      </w:r>
      <w:r w:rsidR="002D22E8">
        <w:rPr>
          <w:rFonts w:ascii="Times New Roman" w:hAnsi="Times New Roman" w:cs="Times New Roman"/>
        </w:rPr>
        <w:t xml:space="preserve">remain technology-neutral in </w:t>
      </w:r>
      <w:r w:rsidR="00A63F9D">
        <w:rPr>
          <w:rFonts w:ascii="Times New Roman" w:hAnsi="Times New Roman" w:cs="Times New Roman"/>
        </w:rPr>
        <w:t>their adoption of any</w:t>
      </w:r>
      <w:r w:rsidR="002D22E8">
        <w:rPr>
          <w:rFonts w:ascii="Times New Roman" w:hAnsi="Times New Roman" w:cs="Times New Roman"/>
        </w:rPr>
        <w:t xml:space="preserve"> </w:t>
      </w:r>
      <w:r w:rsidR="00583100">
        <w:rPr>
          <w:rFonts w:ascii="Times New Roman" w:hAnsi="Times New Roman" w:cs="Times New Roman"/>
        </w:rPr>
        <w:t xml:space="preserve">market changes in order to provide the most value and benefit to Texan consumers. </w:t>
      </w:r>
      <w:r w:rsidR="00A63F9D">
        <w:rPr>
          <w:rFonts w:ascii="Times New Roman" w:hAnsi="Times New Roman" w:cs="Times New Roman"/>
        </w:rPr>
        <w:t xml:space="preserve">In addition, Enel urges the Commission to continue to </w:t>
      </w:r>
      <w:r w:rsidR="00D7612F">
        <w:rPr>
          <w:rFonts w:ascii="Times New Roman" w:hAnsi="Times New Roman" w:cs="Times New Roman"/>
        </w:rPr>
        <w:t xml:space="preserve">provide a multitude of opportunities for feedback, both for industry participants </w:t>
      </w:r>
      <w:r w:rsidR="00D27DC1">
        <w:rPr>
          <w:rFonts w:ascii="Times New Roman" w:hAnsi="Times New Roman" w:cs="Times New Roman"/>
        </w:rPr>
        <w:t>and</w:t>
      </w:r>
      <w:r w:rsidR="00D7612F">
        <w:rPr>
          <w:rFonts w:ascii="Times New Roman" w:hAnsi="Times New Roman" w:cs="Times New Roman"/>
        </w:rPr>
        <w:t xml:space="preserve"> the average Texan consumer. If the conclusion of the Commission is that there are market design changes needed in order to </w:t>
      </w:r>
      <w:r w:rsidR="000A0EB5">
        <w:rPr>
          <w:rFonts w:ascii="Times New Roman" w:hAnsi="Times New Roman" w:cs="Times New Roman"/>
        </w:rPr>
        <w:t xml:space="preserve">ensure adequate grid reliability and resiliency, then those changes should reflect the input of a variety of stakeholders. </w:t>
      </w:r>
    </w:p>
    <w:p w14:paraId="29D10E05" w14:textId="77777777" w:rsidR="004A5369" w:rsidRDefault="004A5369" w:rsidP="00D8691A">
      <w:pPr>
        <w:spacing w:line="480" w:lineRule="auto"/>
        <w:ind w:left="360" w:firstLine="360"/>
        <w:rPr>
          <w:rFonts w:ascii="Times New Roman" w:hAnsi="Times New Roman" w:cs="Times New Roman"/>
        </w:rPr>
      </w:pPr>
    </w:p>
    <w:p w14:paraId="2CAE896D" w14:textId="1C9130FA" w:rsidR="00C31B0B" w:rsidRDefault="00AC0D65" w:rsidP="00AC0D65">
      <w:pPr>
        <w:spacing w:line="480" w:lineRule="auto"/>
        <w:ind w:left="360" w:firstLine="360"/>
        <w:jc w:val="right"/>
        <w:rPr>
          <w:rFonts w:ascii="Times New Roman" w:hAnsi="Times New Roman" w:cs="Times New Roman"/>
        </w:rPr>
      </w:pPr>
      <w:r>
        <w:rPr>
          <w:rFonts w:ascii="Times New Roman" w:hAnsi="Times New Roman" w:cs="Times New Roman"/>
        </w:rPr>
        <w:t xml:space="preserve">Respectfully submitted, </w:t>
      </w:r>
    </w:p>
    <w:p w14:paraId="0910AAB6" w14:textId="02DE0D9B" w:rsidR="00AC0D65" w:rsidRDefault="00D27DC1" w:rsidP="00AC0D65">
      <w:pPr>
        <w:spacing w:line="480" w:lineRule="auto"/>
        <w:ind w:left="360" w:firstLine="360"/>
        <w:jc w:val="right"/>
        <w:rPr>
          <w:rFonts w:ascii="Times New Roman" w:hAnsi="Times New Roman" w:cs="Times New Roman"/>
        </w:rPr>
      </w:pPr>
      <w:r>
        <w:rPr>
          <w:noProof/>
        </w:rPr>
        <w:drawing>
          <wp:inline distT="0" distB="0" distL="0" distR="0" wp14:anchorId="6FE952A8" wp14:editId="6709ED36">
            <wp:extent cx="1867486" cy="342900"/>
            <wp:effectExtent l="0" t="0" r="0" b="0"/>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0710" cy="343492"/>
                    </a:xfrm>
                    <a:prstGeom prst="rect">
                      <a:avLst/>
                    </a:prstGeom>
                    <a:noFill/>
                    <a:ln>
                      <a:noFill/>
                    </a:ln>
                  </pic:spPr>
                </pic:pic>
              </a:graphicData>
            </a:graphic>
          </wp:inline>
        </w:drawing>
      </w:r>
    </w:p>
    <w:p w14:paraId="26B8649A" w14:textId="5EE8FE47" w:rsidR="00AC0D65" w:rsidRDefault="00AC0D65" w:rsidP="008364B2">
      <w:pPr>
        <w:spacing w:after="0" w:line="240" w:lineRule="auto"/>
        <w:ind w:left="360" w:firstLine="360"/>
        <w:jc w:val="right"/>
        <w:rPr>
          <w:rFonts w:ascii="Times New Roman" w:hAnsi="Times New Roman" w:cs="Times New Roman"/>
        </w:rPr>
      </w:pPr>
      <w:r>
        <w:rPr>
          <w:rFonts w:ascii="Times New Roman" w:hAnsi="Times New Roman" w:cs="Times New Roman"/>
        </w:rPr>
        <w:t>Madeline Gould Laughlin</w:t>
      </w:r>
    </w:p>
    <w:p w14:paraId="2B6FC8CE" w14:textId="41017C7E" w:rsidR="00AC0D65" w:rsidRDefault="00AC0D65" w:rsidP="008364B2">
      <w:pPr>
        <w:spacing w:after="0" w:line="240" w:lineRule="auto"/>
        <w:ind w:left="360" w:firstLine="360"/>
        <w:jc w:val="right"/>
        <w:rPr>
          <w:rFonts w:ascii="Times New Roman" w:hAnsi="Times New Roman" w:cs="Times New Roman"/>
        </w:rPr>
      </w:pPr>
      <w:r>
        <w:rPr>
          <w:rFonts w:ascii="Times New Roman" w:hAnsi="Times New Roman" w:cs="Times New Roman"/>
        </w:rPr>
        <w:t>Senior Manager, Regulatory Affairs</w:t>
      </w:r>
      <w:r w:rsidR="00017AA3">
        <w:rPr>
          <w:rFonts w:ascii="Times New Roman" w:hAnsi="Times New Roman" w:cs="Times New Roman"/>
        </w:rPr>
        <w:t xml:space="preserve"> - Texas</w:t>
      </w:r>
    </w:p>
    <w:p w14:paraId="18C2880C" w14:textId="74364DD6" w:rsidR="00AC0D65" w:rsidRDefault="00AC0D65" w:rsidP="008364B2">
      <w:pPr>
        <w:spacing w:after="0" w:line="240" w:lineRule="auto"/>
        <w:ind w:left="360" w:firstLine="360"/>
        <w:jc w:val="right"/>
        <w:rPr>
          <w:rFonts w:ascii="Times New Roman" w:hAnsi="Times New Roman" w:cs="Times New Roman"/>
        </w:rPr>
      </w:pPr>
      <w:r>
        <w:rPr>
          <w:rFonts w:ascii="Times New Roman" w:hAnsi="Times New Roman" w:cs="Times New Roman"/>
        </w:rPr>
        <w:t>Enel North America</w:t>
      </w:r>
    </w:p>
    <w:p w14:paraId="62550CBE" w14:textId="24D0501C" w:rsidR="00AC0D65" w:rsidRDefault="00AC0D65" w:rsidP="008364B2">
      <w:pPr>
        <w:spacing w:after="0" w:line="240" w:lineRule="auto"/>
        <w:ind w:left="360" w:firstLine="360"/>
        <w:jc w:val="right"/>
        <w:rPr>
          <w:rFonts w:ascii="Times New Roman" w:hAnsi="Times New Roman" w:cs="Times New Roman"/>
        </w:rPr>
      </w:pPr>
      <w:r>
        <w:rPr>
          <w:rFonts w:ascii="Times New Roman" w:hAnsi="Times New Roman" w:cs="Times New Roman"/>
        </w:rPr>
        <w:t xml:space="preserve">100 Brickstone </w:t>
      </w:r>
      <w:r w:rsidR="00CA4BE4">
        <w:rPr>
          <w:rFonts w:ascii="Times New Roman" w:hAnsi="Times New Roman" w:cs="Times New Roman"/>
        </w:rPr>
        <w:t>Square</w:t>
      </w:r>
    </w:p>
    <w:p w14:paraId="669E0E73" w14:textId="09ED1001" w:rsidR="00CA4BE4" w:rsidRDefault="00CA4BE4" w:rsidP="008364B2">
      <w:pPr>
        <w:spacing w:after="0" w:line="240" w:lineRule="auto"/>
        <w:ind w:left="360" w:firstLine="360"/>
        <w:jc w:val="right"/>
        <w:rPr>
          <w:rFonts w:ascii="Times New Roman" w:hAnsi="Times New Roman" w:cs="Times New Roman"/>
        </w:rPr>
      </w:pPr>
      <w:r>
        <w:rPr>
          <w:rFonts w:ascii="Times New Roman" w:hAnsi="Times New Roman" w:cs="Times New Roman"/>
        </w:rPr>
        <w:t>#300</w:t>
      </w:r>
    </w:p>
    <w:p w14:paraId="668BA05C" w14:textId="7199F713" w:rsidR="00CA4BE4" w:rsidRDefault="00CA4BE4" w:rsidP="008364B2">
      <w:pPr>
        <w:spacing w:after="0" w:line="240" w:lineRule="auto"/>
        <w:ind w:left="360" w:firstLine="360"/>
        <w:jc w:val="right"/>
        <w:rPr>
          <w:rFonts w:ascii="Times New Roman" w:hAnsi="Times New Roman" w:cs="Times New Roman"/>
        </w:rPr>
      </w:pPr>
      <w:r>
        <w:rPr>
          <w:rFonts w:ascii="Times New Roman" w:hAnsi="Times New Roman" w:cs="Times New Roman"/>
        </w:rPr>
        <w:t>Andover, MA 01810</w:t>
      </w:r>
    </w:p>
    <w:p w14:paraId="3AA8783C" w14:textId="75BFB8E8" w:rsidR="00CA4BE4" w:rsidRDefault="00E04FDE" w:rsidP="008364B2">
      <w:pPr>
        <w:spacing w:after="0" w:line="240" w:lineRule="auto"/>
        <w:ind w:left="360" w:firstLine="360"/>
        <w:jc w:val="right"/>
        <w:rPr>
          <w:rFonts w:ascii="Times New Roman" w:hAnsi="Times New Roman" w:cs="Times New Roman"/>
        </w:rPr>
      </w:pPr>
      <w:r>
        <w:rPr>
          <w:rFonts w:ascii="Times New Roman" w:hAnsi="Times New Roman" w:cs="Times New Roman"/>
        </w:rPr>
        <w:t>(978) 773-0520</w:t>
      </w:r>
    </w:p>
    <w:p w14:paraId="57258089" w14:textId="03E440CD" w:rsidR="00E04FDE" w:rsidRDefault="00E04FDE" w:rsidP="008364B2">
      <w:pPr>
        <w:spacing w:after="0" w:line="240" w:lineRule="auto"/>
        <w:ind w:left="360" w:firstLine="360"/>
        <w:jc w:val="right"/>
        <w:rPr>
          <w:rFonts w:ascii="Times New Roman" w:hAnsi="Times New Roman" w:cs="Times New Roman"/>
        </w:rPr>
      </w:pPr>
      <w:r>
        <w:rPr>
          <w:rFonts w:ascii="Times New Roman" w:hAnsi="Times New Roman" w:cs="Times New Roman"/>
        </w:rPr>
        <w:t>madeline.</w:t>
      </w:r>
      <w:r w:rsidR="008364B2">
        <w:rPr>
          <w:rFonts w:ascii="Times New Roman" w:hAnsi="Times New Roman" w:cs="Times New Roman"/>
        </w:rPr>
        <w:t>laughlin@enel.com</w:t>
      </w:r>
    </w:p>
    <w:p w14:paraId="1739CB5E" w14:textId="77777777" w:rsidR="001B6673" w:rsidRPr="00BF6DFC" w:rsidRDefault="001B6673" w:rsidP="0086511E">
      <w:pPr>
        <w:rPr>
          <w:rFonts w:ascii="Times New Roman" w:hAnsi="Times New Roman" w:cs="Times New Roman"/>
        </w:rPr>
      </w:pPr>
    </w:p>
    <w:p w14:paraId="659CD924" w14:textId="1ADE147B" w:rsidR="00186C3C" w:rsidRDefault="00D12FE2" w:rsidP="0086511E">
      <w:pPr>
        <w:rPr>
          <w:rFonts w:ascii="Times New Roman" w:hAnsi="Times New Roman" w:cs="Times New Roman"/>
        </w:rPr>
      </w:pPr>
      <w:r w:rsidRPr="00BF6DFC">
        <w:rPr>
          <w:rFonts w:ascii="Times New Roman" w:hAnsi="Times New Roman" w:cs="Times New Roman"/>
        </w:rPr>
        <w:t xml:space="preserve"> </w:t>
      </w:r>
    </w:p>
    <w:p w14:paraId="54C4730C" w14:textId="77777777" w:rsidR="00186C3C" w:rsidRDefault="00186C3C">
      <w:pPr>
        <w:rPr>
          <w:rFonts w:ascii="Times New Roman" w:hAnsi="Times New Roman" w:cs="Times New Roman"/>
        </w:rPr>
      </w:pPr>
      <w:r>
        <w:rPr>
          <w:rFonts w:ascii="Times New Roman" w:hAnsi="Times New Roman" w:cs="Times New Roman"/>
        </w:rPr>
        <w:br w:type="page"/>
      </w:r>
    </w:p>
    <w:p w14:paraId="2A8B0143" w14:textId="0F8ECF4D" w:rsidR="00186C3C" w:rsidRDefault="00186C3C" w:rsidP="00186C3C">
      <w:pPr>
        <w:spacing w:after="0" w:line="240" w:lineRule="auto"/>
        <w:ind w:left="2880" w:firstLine="720"/>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lastRenderedPageBreak/>
        <w:t>PROJECT No. 5</w:t>
      </w:r>
      <w:r>
        <w:rPr>
          <w:rFonts w:ascii="Times New Roman" w:eastAsia="Times New Roman" w:hAnsi="Times New Roman" w:cs="Times New Roman"/>
          <w:b/>
          <w:caps/>
          <w:sz w:val="24"/>
          <w:szCs w:val="24"/>
        </w:rPr>
        <w:t>4335</w:t>
      </w:r>
    </w:p>
    <w:p w14:paraId="31BC2EBF" w14:textId="77777777" w:rsidR="00186C3C" w:rsidRDefault="00186C3C" w:rsidP="00186C3C">
      <w:pPr>
        <w:spacing w:after="0" w:line="240" w:lineRule="auto"/>
        <w:jc w:val="center"/>
        <w:rPr>
          <w:rFonts w:ascii="Times New Roman" w:eastAsia="Times New Roman" w:hAnsi="Times New Roman" w:cs="Times New Roman"/>
          <w:b/>
          <w:sz w:val="24"/>
          <w:szCs w:val="24"/>
        </w:rPr>
      </w:pPr>
    </w:p>
    <w:tbl>
      <w:tblPr>
        <w:tblW w:w="9754" w:type="dxa"/>
        <w:tblLook w:val="01E0" w:firstRow="1" w:lastRow="1" w:firstColumn="1" w:lastColumn="1" w:noHBand="0" w:noVBand="0"/>
      </w:tblPr>
      <w:tblGrid>
        <w:gridCol w:w="4744"/>
        <w:gridCol w:w="445"/>
        <w:gridCol w:w="4565"/>
      </w:tblGrid>
      <w:tr w:rsidR="00186C3C" w14:paraId="3B8B09ED" w14:textId="77777777" w:rsidTr="00186C3C">
        <w:trPr>
          <w:trHeight w:val="487"/>
        </w:trPr>
        <w:tc>
          <w:tcPr>
            <w:tcW w:w="4744" w:type="dxa"/>
            <w:hideMark/>
          </w:tcPr>
          <w:p w14:paraId="175B5F9F" w14:textId="598BBB0F" w:rsidR="00186C3C" w:rsidRDefault="00186C3C">
            <w:pPr>
              <w:spacing w:after="0" w:line="240" w:lineRule="auto"/>
              <w:rPr>
                <w:rFonts w:ascii="Times New Roman" w:eastAsia="Times New Roman" w:hAnsi="Times New Roman" w:cs="Times New Roman"/>
                <w:b/>
                <w:caps/>
                <w:sz w:val="24"/>
                <w:szCs w:val="24"/>
              </w:rPr>
            </w:pPr>
            <w:r w:rsidRPr="00617498">
              <w:rPr>
                <w:rFonts w:ascii="Times New Roman" w:eastAsia="Times New Roman" w:hAnsi="Times New Roman" w:cs="Times New Roman"/>
                <w:b/>
                <w:bCs/>
                <w:caps/>
                <w:sz w:val="24"/>
                <w:szCs w:val="24"/>
              </w:rPr>
              <w:t xml:space="preserve">review of </w:t>
            </w:r>
            <w:r>
              <w:rPr>
                <w:rFonts w:ascii="Times New Roman" w:eastAsia="Times New Roman" w:hAnsi="Times New Roman" w:cs="Times New Roman"/>
                <w:b/>
                <w:bCs/>
                <w:caps/>
                <w:sz w:val="24"/>
                <w:szCs w:val="24"/>
              </w:rPr>
              <w:t>market reform assessment produced by energy and environmental economics, inc. (e3)</w:t>
            </w:r>
            <w:r w:rsidRPr="00144326">
              <w:rPr>
                <w:rFonts w:ascii="Times New Roman" w:eastAsia="Times New Roman" w:hAnsi="Times New Roman" w:cs="Times New Roman"/>
                <w:b/>
                <w:bCs/>
                <w:caps/>
                <w:sz w:val="24"/>
                <w:szCs w:val="24"/>
              </w:rPr>
              <w:t>  </w:t>
            </w:r>
            <w:r w:rsidRPr="00144326">
              <w:rPr>
                <w:rFonts w:ascii="Times New Roman" w:eastAsia="Times New Roman" w:hAnsi="Times New Roman" w:cs="Times New Roman"/>
                <w:sz w:val="24"/>
                <w:szCs w:val="24"/>
              </w:rPr>
              <w:t> </w:t>
            </w:r>
          </w:p>
        </w:tc>
        <w:tc>
          <w:tcPr>
            <w:tcW w:w="445" w:type="dxa"/>
          </w:tcPr>
          <w:p w14:paraId="277012A2" w14:textId="77777777" w:rsidR="00186C3C" w:rsidRDefault="00186C3C">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p w14:paraId="1187895A" w14:textId="77777777" w:rsidR="00186C3C" w:rsidRDefault="00186C3C">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p w14:paraId="17ACF387" w14:textId="77777777" w:rsidR="00186C3C" w:rsidRDefault="00186C3C">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p w14:paraId="61072D80" w14:textId="77777777" w:rsidR="00186C3C" w:rsidRDefault="00186C3C">
            <w:pPr>
              <w:spacing w:after="0" w:line="240" w:lineRule="auto"/>
              <w:jc w:val="both"/>
              <w:rPr>
                <w:rFonts w:ascii="Times New Roman" w:eastAsia="Times New Roman" w:hAnsi="Times New Roman" w:cs="Times New Roman"/>
                <w:b/>
                <w:sz w:val="24"/>
                <w:szCs w:val="24"/>
              </w:rPr>
            </w:pPr>
          </w:p>
          <w:p w14:paraId="6B696ED3" w14:textId="77777777" w:rsidR="00186C3C" w:rsidRDefault="00186C3C">
            <w:pPr>
              <w:spacing w:after="0" w:line="240" w:lineRule="auto"/>
              <w:jc w:val="both"/>
              <w:rPr>
                <w:rFonts w:ascii="Times New Roman" w:eastAsia="Times New Roman" w:hAnsi="Times New Roman" w:cs="Times New Roman"/>
                <w:b/>
                <w:sz w:val="24"/>
                <w:szCs w:val="24"/>
              </w:rPr>
            </w:pPr>
          </w:p>
        </w:tc>
        <w:tc>
          <w:tcPr>
            <w:tcW w:w="4565" w:type="dxa"/>
          </w:tcPr>
          <w:p w14:paraId="46CD8100" w14:textId="77777777" w:rsidR="00186C3C" w:rsidRDefault="00186C3C">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PUBLIC UTILITY COMMISSION</w:t>
            </w:r>
          </w:p>
          <w:p w14:paraId="54DAA9A7" w14:textId="77777777" w:rsidR="00186C3C" w:rsidRDefault="00186C3C">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p>
          <w:p w14:paraId="63AB3E89" w14:textId="77777777" w:rsidR="00186C3C" w:rsidRDefault="00186C3C">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OF TEXAS</w:t>
            </w:r>
          </w:p>
        </w:tc>
      </w:tr>
    </w:tbl>
    <w:p w14:paraId="2B1184EB" w14:textId="77777777" w:rsidR="00186C3C" w:rsidRDefault="00186C3C" w:rsidP="00186C3C">
      <w:pPr>
        <w:keepNext/>
        <w:spacing w:after="0" w:line="480" w:lineRule="auto"/>
        <w:jc w:val="center"/>
        <w:rPr>
          <w:rFonts w:ascii="Times New Roman" w:eastAsia="Times New Roman" w:hAnsi="Times New Roman" w:cs="Times New Roman"/>
          <w:b/>
          <w:bCs/>
          <w:caps/>
          <w:sz w:val="24"/>
          <w:szCs w:val="24"/>
        </w:rPr>
      </w:pPr>
    </w:p>
    <w:p w14:paraId="6008A21C" w14:textId="60940F08" w:rsidR="00186C3C" w:rsidRDefault="00186C3C" w:rsidP="00186C3C">
      <w:pPr>
        <w:keepNext/>
        <w:spacing w:after="0" w:line="480" w:lineRule="auto"/>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comments from ENEL NORTH AMERICA, INC.</w:t>
      </w:r>
    </w:p>
    <w:p w14:paraId="6E284B4F" w14:textId="1BBCB6BF" w:rsidR="00D33912" w:rsidRDefault="00186C3C" w:rsidP="00186C3C">
      <w:pPr>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Executive Summary</w:t>
      </w:r>
    </w:p>
    <w:p w14:paraId="31BB8326" w14:textId="01A31769" w:rsidR="00D27DC1" w:rsidRDefault="00D27DC1" w:rsidP="00186C3C">
      <w:pPr>
        <w:jc w:val="center"/>
        <w:rPr>
          <w:rFonts w:ascii="Times New Roman" w:eastAsia="Times New Roman" w:hAnsi="Times New Roman" w:cs="Times New Roman"/>
          <w:b/>
          <w:bCs/>
          <w:caps/>
          <w:sz w:val="24"/>
          <w:szCs w:val="24"/>
        </w:rPr>
      </w:pPr>
    </w:p>
    <w:p w14:paraId="68C5B903" w14:textId="551C5427" w:rsidR="00D27DC1" w:rsidRPr="001E0FCB" w:rsidRDefault="001E0FCB" w:rsidP="001E0FCB">
      <w:pPr>
        <w:pStyle w:val="ListParagraph"/>
        <w:numPr>
          <w:ilvl w:val="0"/>
          <w:numId w:val="3"/>
        </w:numPr>
        <w:spacing w:line="480" w:lineRule="auto"/>
        <w:rPr>
          <w:rFonts w:ascii="Times New Roman" w:hAnsi="Times New Roman" w:cs="Times New Roman"/>
        </w:rPr>
      </w:pPr>
      <w:r w:rsidRPr="001E0FCB">
        <w:rPr>
          <w:rFonts w:ascii="Times New Roman" w:hAnsi="Times New Roman" w:cs="Times New Roman"/>
        </w:rPr>
        <w:t xml:space="preserve">The reliability problem the Commission is solving for should be clearly defined. </w:t>
      </w:r>
    </w:p>
    <w:p w14:paraId="3AD52F0A" w14:textId="31A06D8B" w:rsidR="001E0FCB" w:rsidRPr="001E0FCB" w:rsidRDefault="001E0FCB" w:rsidP="001E0FCB">
      <w:pPr>
        <w:pStyle w:val="ListParagraph"/>
        <w:numPr>
          <w:ilvl w:val="0"/>
          <w:numId w:val="3"/>
        </w:numPr>
        <w:spacing w:line="480" w:lineRule="auto"/>
        <w:rPr>
          <w:rFonts w:ascii="Times New Roman" w:hAnsi="Times New Roman" w:cs="Times New Roman"/>
        </w:rPr>
      </w:pPr>
      <w:r w:rsidRPr="001E0FCB">
        <w:rPr>
          <w:rFonts w:ascii="Times New Roman" w:hAnsi="Times New Roman" w:cs="Times New Roman"/>
        </w:rPr>
        <w:t xml:space="preserve">The Commission should enhance and/or expand existing products to ensure the market maximizes the reliability value of existing products. </w:t>
      </w:r>
    </w:p>
    <w:p w14:paraId="72974888" w14:textId="66C74BF9" w:rsidR="001E0FCB" w:rsidRDefault="001E0FCB" w:rsidP="001E0FCB">
      <w:pPr>
        <w:pStyle w:val="ListParagraph"/>
        <w:numPr>
          <w:ilvl w:val="0"/>
          <w:numId w:val="3"/>
        </w:numPr>
        <w:spacing w:line="480" w:lineRule="auto"/>
        <w:rPr>
          <w:rFonts w:ascii="Times New Roman" w:hAnsi="Times New Roman" w:cs="Times New Roman"/>
        </w:rPr>
      </w:pPr>
      <w:r w:rsidRPr="001E0FCB">
        <w:rPr>
          <w:rFonts w:ascii="Times New Roman" w:hAnsi="Times New Roman" w:cs="Times New Roman"/>
        </w:rPr>
        <w:t xml:space="preserve">The Commission should refer to Commissioner McAdams’ original memo on DEC to study DEC and the benefits it could provide the market. </w:t>
      </w:r>
    </w:p>
    <w:p w14:paraId="4E058F60" w14:textId="3D6089A6" w:rsidR="008C28E7" w:rsidRPr="008C28E7" w:rsidRDefault="008C28E7" w:rsidP="008C28E7">
      <w:pPr>
        <w:pStyle w:val="ListParagraph"/>
        <w:numPr>
          <w:ilvl w:val="0"/>
          <w:numId w:val="3"/>
        </w:numPr>
        <w:spacing w:line="480" w:lineRule="auto"/>
        <w:rPr>
          <w:rFonts w:ascii="Times New Roman" w:hAnsi="Times New Roman" w:cs="Times New Roman"/>
        </w:rPr>
      </w:pPr>
      <w:r>
        <w:rPr>
          <w:rFonts w:ascii="Times New Roman" w:hAnsi="Times New Roman" w:cs="Times New Roman"/>
        </w:rPr>
        <w:t>B</w:t>
      </w:r>
      <w:r w:rsidRPr="008C28E7">
        <w:rPr>
          <w:rFonts w:ascii="Times New Roman" w:hAnsi="Times New Roman" w:cs="Times New Roman"/>
        </w:rPr>
        <w:t xml:space="preserve">atteries and demand response stand to pose a critical role in operational flexibility and can provide significant cost savings to Texas consumers while increasing reliability and resiliency. </w:t>
      </w:r>
    </w:p>
    <w:p w14:paraId="06BA712B" w14:textId="77777777" w:rsidR="008C28E7" w:rsidRPr="001E0FCB" w:rsidRDefault="008C28E7" w:rsidP="008C28E7">
      <w:pPr>
        <w:pStyle w:val="ListParagraph"/>
        <w:spacing w:line="480" w:lineRule="auto"/>
        <w:rPr>
          <w:rFonts w:ascii="Times New Roman" w:hAnsi="Times New Roman" w:cs="Times New Roman"/>
        </w:rPr>
      </w:pPr>
    </w:p>
    <w:sectPr w:rsidR="008C28E7" w:rsidRPr="001E0FCB">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6BAD7" w14:textId="77777777" w:rsidR="00221D8C" w:rsidRDefault="00221D8C" w:rsidP="00221D8C">
      <w:pPr>
        <w:spacing w:after="0" w:line="240" w:lineRule="auto"/>
      </w:pPr>
      <w:r>
        <w:separator/>
      </w:r>
    </w:p>
  </w:endnote>
  <w:endnote w:type="continuationSeparator" w:id="0">
    <w:p w14:paraId="3F350C31" w14:textId="77777777" w:rsidR="00221D8C" w:rsidRDefault="00221D8C" w:rsidP="00221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5379389"/>
      <w:docPartObj>
        <w:docPartGallery w:val="Page Numbers (Bottom of Page)"/>
        <w:docPartUnique/>
      </w:docPartObj>
    </w:sdtPr>
    <w:sdtEndPr>
      <w:rPr>
        <w:noProof/>
      </w:rPr>
    </w:sdtEndPr>
    <w:sdtContent>
      <w:p w14:paraId="55564FC4" w14:textId="337C0153" w:rsidR="00C94671" w:rsidRDefault="00C9467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816F38" w14:textId="77777777" w:rsidR="00C94671" w:rsidRDefault="00C946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5B6C5" w14:textId="77777777" w:rsidR="00221D8C" w:rsidRDefault="00221D8C" w:rsidP="00221D8C">
      <w:pPr>
        <w:spacing w:after="0" w:line="240" w:lineRule="auto"/>
      </w:pPr>
      <w:r>
        <w:separator/>
      </w:r>
    </w:p>
  </w:footnote>
  <w:footnote w:type="continuationSeparator" w:id="0">
    <w:p w14:paraId="4D6821B6" w14:textId="77777777" w:rsidR="00221D8C" w:rsidRDefault="00221D8C" w:rsidP="00221D8C">
      <w:pPr>
        <w:spacing w:after="0" w:line="240" w:lineRule="auto"/>
      </w:pPr>
      <w:r>
        <w:continuationSeparator/>
      </w:r>
    </w:p>
  </w:footnote>
  <w:footnote w:id="1">
    <w:p w14:paraId="52640E7B" w14:textId="4F1AB123" w:rsidR="008C52C0" w:rsidRPr="00E53CF3" w:rsidRDefault="008C52C0">
      <w:pPr>
        <w:pStyle w:val="FootnoteText"/>
        <w:rPr>
          <w:rFonts w:ascii="Times New Roman" w:hAnsi="Times New Roman" w:cs="Times New Roman"/>
        </w:rPr>
      </w:pPr>
      <w:r w:rsidRPr="00E53CF3">
        <w:rPr>
          <w:rStyle w:val="FootnoteReference"/>
          <w:rFonts w:ascii="Times New Roman" w:hAnsi="Times New Roman" w:cs="Times New Roman"/>
        </w:rPr>
        <w:footnoteRef/>
      </w:r>
      <w:r w:rsidRPr="00E53CF3">
        <w:rPr>
          <w:rFonts w:ascii="Times New Roman" w:hAnsi="Times New Roman" w:cs="Times New Roman"/>
        </w:rPr>
        <w:t xml:space="preserve"> </w:t>
      </w:r>
      <w:r w:rsidR="003708FD" w:rsidRPr="00E53CF3">
        <w:rPr>
          <w:rFonts w:ascii="Times New Roman" w:hAnsi="Times New Roman" w:cs="Times New Roman"/>
        </w:rPr>
        <w:t>Enel’s leadership in the different categories is defined by comparison with competitors’ FY 2021 data. Publicly o</w:t>
      </w:r>
      <w:r w:rsidR="00E53CF3" w:rsidRPr="00E53CF3">
        <w:rPr>
          <w:rFonts w:ascii="Times New Roman" w:hAnsi="Times New Roman" w:cs="Times New Roman"/>
        </w:rPr>
        <w:t xml:space="preserve">wned operators are not included. </w:t>
      </w:r>
    </w:p>
  </w:footnote>
  <w:footnote w:id="2">
    <w:p w14:paraId="420FEB8D" w14:textId="6C210E20" w:rsidR="00221D8C" w:rsidRPr="00E74BD4" w:rsidRDefault="00221D8C">
      <w:pPr>
        <w:pStyle w:val="FootnoteText"/>
        <w:rPr>
          <w:rFonts w:ascii="Times New Roman" w:hAnsi="Times New Roman" w:cs="Times New Roman"/>
        </w:rPr>
      </w:pPr>
      <w:r w:rsidRPr="00E74BD4">
        <w:rPr>
          <w:rStyle w:val="FootnoteReference"/>
          <w:rFonts w:ascii="Times New Roman" w:hAnsi="Times New Roman" w:cs="Times New Roman"/>
        </w:rPr>
        <w:footnoteRef/>
      </w:r>
      <w:r w:rsidRPr="00E74BD4">
        <w:rPr>
          <w:rFonts w:ascii="Times New Roman" w:hAnsi="Times New Roman" w:cs="Times New Roman"/>
        </w:rPr>
        <w:t xml:space="preserve"> </w:t>
      </w:r>
      <w:r w:rsidR="00CC33C3" w:rsidRPr="00E74BD4">
        <w:rPr>
          <w:rFonts w:ascii="Times New Roman" w:hAnsi="Times New Roman" w:cs="Times New Roman"/>
        </w:rPr>
        <w:t>E3 Report</w:t>
      </w:r>
      <w:r w:rsidR="00E74BD4" w:rsidRPr="00E74BD4">
        <w:rPr>
          <w:rFonts w:ascii="Times New Roman" w:hAnsi="Times New Roman" w:cs="Times New Roman"/>
        </w:rPr>
        <w:t xml:space="preserve">, p. </w:t>
      </w:r>
      <w:r w:rsidR="008C1280">
        <w:rPr>
          <w:rFonts w:ascii="Times New Roman" w:hAnsi="Times New Roman" w:cs="Times New Roman"/>
        </w:rPr>
        <w:t>113.</w:t>
      </w:r>
    </w:p>
  </w:footnote>
  <w:footnote w:id="3">
    <w:p w14:paraId="3EA3E2D2" w14:textId="3FC74DF5" w:rsidR="00DC3BFF" w:rsidRPr="00AB1909" w:rsidRDefault="00DC3BFF">
      <w:pPr>
        <w:pStyle w:val="FootnoteText"/>
        <w:rPr>
          <w:rFonts w:ascii="Times New Roman" w:hAnsi="Times New Roman" w:cs="Times New Roman"/>
        </w:rPr>
      </w:pPr>
      <w:r w:rsidRPr="00AB1909">
        <w:rPr>
          <w:rStyle w:val="FootnoteReference"/>
          <w:rFonts w:ascii="Times New Roman" w:hAnsi="Times New Roman" w:cs="Times New Roman"/>
        </w:rPr>
        <w:footnoteRef/>
      </w:r>
      <w:r w:rsidRPr="00AB1909">
        <w:rPr>
          <w:rFonts w:ascii="Times New Roman" w:hAnsi="Times New Roman" w:cs="Times New Roman"/>
        </w:rPr>
        <w:t xml:space="preserve"> </w:t>
      </w:r>
      <w:r w:rsidR="00AB1909" w:rsidRPr="00AB1909">
        <w:rPr>
          <w:rFonts w:ascii="Times New Roman" w:hAnsi="Times New Roman" w:cs="Times New Roman"/>
        </w:rPr>
        <w:t xml:space="preserve">Commissioner McAdams Memorandum, Project </w:t>
      </w:r>
      <w:proofErr w:type="gramStart"/>
      <w:r w:rsidR="00AB1909" w:rsidRPr="00AB1909">
        <w:rPr>
          <w:rFonts w:ascii="Times New Roman" w:hAnsi="Times New Roman" w:cs="Times New Roman"/>
        </w:rPr>
        <w:t>No .</w:t>
      </w:r>
      <w:proofErr w:type="gramEnd"/>
      <w:r w:rsidR="00AB1909" w:rsidRPr="00AB1909">
        <w:rPr>
          <w:rFonts w:ascii="Times New Roman" w:hAnsi="Times New Roman" w:cs="Times New Roman"/>
        </w:rPr>
        <w:t xml:space="preserve"> </w:t>
      </w:r>
      <w:proofErr w:type="gramStart"/>
      <w:r w:rsidR="00AB1909" w:rsidRPr="00AB1909">
        <w:rPr>
          <w:rFonts w:ascii="Times New Roman" w:hAnsi="Times New Roman" w:cs="Times New Roman"/>
        </w:rPr>
        <w:t>52373 ,</w:t>
      </w:r>
      <w:proofErr w:type="gramEnd"/>
      <w:r w:rsidR="00AB1909" w:rsidRPr="00AB1909">
        <w:rPr>
          <w:rFonts w:ascii="Times New Roman" w:hAnsi="Times New Roman" w:cs="Times New Roman"/>
        </w:rPr>
        <w:t xml:space="preserve"> Item No . 21 - Review of Wholesale Electric Market Design (November 17, 2021) available at </w:t>
      </w:r>
      <w:hyperlink r:id="rId1" w:history="1">
        <w:r w:rsidR="00AB1909" w:rsidRPr="00AB1909">
          <w:rPr>
            <w:rStyle w:val="Hyperlink"/>
            <w:rFonts w:ascii="Times New Roman" w:hAnsi="Times New Roman" w:cs="Times New Roman"/>
          </w:rPr>
          <w:t>https://interchange.puc.texas.gov/Documents/52373_250_1168223.PDF</w:t>
        </w:r>
      </w:hyperlink>
      <w:r w:rsidR="00AB1909" w:rsidRPr="00AB1909">
        <w:rPr>
          <w:rFonts w:ascii="Times New Roman" w:hAnsi="Times New Roman" w:cs="Times New Roman"/>
        </w:rPr>
        <w:t>.</w:t>
      </w:r>
    </w:p>
  </w:footnote>
  <w:footnote w:id="4">
    <w:p w14:paraId="61BEABFD" w14:textId="4B27C474" w:rsidR="008C3E3D" w:rsidRPr="00427622" w:rsidRDefault="008C3E3D">
      <w:pPr>
        <w:pStyle w:val="FootnoteText"/>
        <w:rPr>
          <w:rFonts w:ascii="Times New Roman" w:hAnsi="Times New Roman" w:cs="Times New Roman"/>
        </w:rPr>
      </w:pPr>
      <w:r w:rsidRPr="00427622">
        <w:rPr>
          <w:rStyle w:val="FootnoteReference"/>
          <w:rFonts w:ascii="Times New Roman" w:hAnsi="Times New Roman" w:cs="Times New Roman"/>
        </w:rPr>
        <w:footnoteRef/>
      </w:r>
      <w:r w:rsidRPr="00427622">
        <w:rPr>
          <w:rFonts w:ascii="Times New Roman" w:hAnsi="Times New Roman" w:cs="Times New Roman"/>
        </w:rPr>
        <w:t xml:space="preserve"> </w:t>
      </w:r>
      <w:r w:rsidR="00427622" w:rsidRPr="00427622">
        <w:rPr>
          <w:rFonts w:ascii="Times New Roman" w:hAnsi="Times New Roman" w:cs="Times New Roman"/>
        </w:rPr>
        <w:t>E3 Report, p. 113</w:t>
      </w:r>
      <w:r w:rsidR="008C1280">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843DB4"/>
    <w:multiLevelType w:val="hybridMultilevel"/>
    <w:tmpl w:val="478C3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665447"/>
    <w:multiLevelType w:val="hybridMultilevel"/>
    <w:tmpl w:val="17F4629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7C324E"/>
    <w:multiLevelType w:val="hybridMultilevel"/>
    <w:tmpl w:val="3CDE6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7893595">
    <w:abstractNumId w:val="0"/>
  </w:num>
  <w:num w:numId="2" w16cid:durableId="76098292">
    <w:abstractNumId w:val="1"/>
  </w:num>
  <w:num w:numId="3" w16cid:durableId="16012546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A37"/>
    <w:rsid w:val="00017AA3"/>
    <w:rsid w:val="0003111A"/>
    <w:rsid w:val="000767EB"/>
    <w:rsid w:val="000772D0"/>
    <w:rsid w:val="00087000"/>
    <w:rsid w:val="000A0EB5"/>
    <w:rsid w:val="00110548"/>
    <w:rsid w:val="00114410"/>
    <w:rsid w:val="00144326"/>
    <w:rsid w:val="001636AC"/>
    <w:rsid w:val="00186C3C"/>
    <w:rsid w:val="00194A37"/>
    <w:rsid w:val="001A47BC"/>
    <w:rsid w:val="001B6673"/>
    <w:rsid w:val="001E0FCB"/>
    <w:rsid w:val="00221D8C"/>
    <w:rsid w:val="00235E90"/>
    <w:rsid w:val="0023610E"/>
    <w:rsid w:val="00285479"/>
    <w:rsid w:val="002D22E8"/>
    <w:rsid w:val="002F7933"/>
    <w:rsid w:val="003159C8"/>
    <w:rsid w:val="00343C60"/>
    <w:rsid w:val="003458AE"/>
    <w:rsid w:val="00353B56"/>
    <w:rsid w:val="003708FD"/>
    <w:rsid w:val="003730D8"/>
    <w:rsid w:val="003B3643"/>
    <w:rsid w:val="003B4F12"/>
    <w:rsid w:val="003F4135"/>
    <w:rsid w:val="00427622"/>
    <w:rsid w:val="004A5369"/>
    <w:rsid w:val="004E09CF"/>
    <w:rsid w:val="00531DA6"/>
    <w:rsid w:val="00563923"/>
    <w:rsid w:val="00583100"/>
    <w:rsid w:val="00592654"/>
    <w:rsid w:val="005C3C1C"/>
    <w:rsid w:val="006079CF"/>
    <w:rsid w:val="00612E44"/>
    <w:rsid w:val="00617498"/>
    <w:rsid w:val="0062678B"/>
    <w:rsid w:val="00645B17"/>
    <w:rsid w:val="0066132D"/>
    <w:rsid w:val="006967A4"/>
    <w:rsid w:val="006A495F"/>
    <w:rsid w:val="007472B1"/>
    <w:rsid w:val="00791A36"/>
    <w:rsid w:val="007C4BE9"/>
    <w:rsid w:val="0082077D"/>
    <w:rsid w:val="008364B2"/>
    <w:rsid w:val="00842F9D"/>
    <w:rsid w:val="0086511E"/>
    <w:rsid w:val="008C1280"/>
    <w:rsid w:val="008C28E7"/>
    <w:rsid w:val="008C3E3D"/>
    <w:rsid w:val="008C52C0"/>
    <w:rsid w:val="008C5E14"/>
    <w:rsid w:val="00902AE8"/>
    <w:rsid w:val="00910534"/>
    <w:rsid w:val="00937A60"/>
    <w:rsid w:val="009F0553"/>
    <w:rsid w:val="009F108F"/>
    <w:rsid w:val="00A31154"/>
    <w:rsid w:val="00A63F9D"/>
    <w:rsid w:val="00AA0554"/>
    <w:rsid w:val="00AB09CB"/>
    <w:rsid w:val="00AB1909"/>
    <w:rsid w:val="00AC0D65"/>
    <w:rsid w:val="00AD4B29"/>
    <w:rsid w:val="00AD797F"/>
    <w:rsid w:val="00B12BC4"/>
    <w:rsid w:val="00B5388A"/>
    <w:rsid w:val="00B7775E"/>
    <w:rsid w:val="00B935DA"/>
    <w:rsid w:val="00B946AB"/>
    <w:rsid w:val="00BF6DFC"/>
    <w:rsid w:val="00C2676A"/>
    <w:rsid w:val="00C31B0B"/>
    <w:rsid w:val="00C65890"/>
    <w:rsid w:val="00C8421C"/>
    <w:rsid w:val="00C94671"/>
    <w:rsid w:val="00CA37F7"/>
    <w:rsid w:val="00CA4BE4"/>
    <w:rsid w:val="00CC33C3"/>
    <w:rsid w:val="00CC46B9"/>
    <w:rsid w:val="00D02119"/>
    <w:rsid w:val="00D12FE2"/>
    <w:rsid w:val="00D27DC1"/>
    <w:rsid w:val="00D33912"/>
    <w:rsid w:val="00D43BC1"/>
    <w:rsid w:val="00D4568E"/>
    <w:rsid w:val="00D56EF4"/>
    <w:rsid w:val="00D7612F"/>
    <w:rsid w:val="00D8691A"/>
    <w:rsid w:val="00DB235F"/>
    <w:rsid w:val="00DB380B"/>
    <w:rsid w:val="00DC3BFF"/>
    <w:rsid w:val="00DE2006"/>
    <w:rsid w:val="00E04FDE"/>
    <w:rsid w:val="00E16E84"/>
    <w:rsid w:val="00E43AFD"/>
    <w:rsid w:val="00E53CF3"/>
    <w:rsid w:val="00E74BD4"/>
    <w:rsid w:val="00EE35AE"/>
    <w:rsid w:val="00EE654E"/>
    <w:rsid w:val="00F235C1"/>
    <w:rsid w:val="00F32870"/>
    <w:rsid w:val="00F4750F"/>
    <w:rsid w:val="00F82FAA"/>
    <w:rsid w:val="00FE7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A5716"/>
  <w15:chartTrackingRefBased/>
  <w15:docId w15:val="{35CE373C-ED43-45FC-91D1-9AED81FE3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4A37"/>
    <w:pPr>
      <w:ind w:left="720"/>
      <w:contextualSpacing/>
    </w:pPr>
  </w:style>
  <w:style w:type="paragraph" w:customStyle="1" w:styleId="paragraph">
    <w:name w:val="paragraph"/>
    <w:basedOn w:val="Normal"/>
    <w:rsid w:val="001443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44326"/>
  </w:style>
  <w:style w:type="character" w:customStyle="1" w:styleId="eop">
    <w:name w:val="eop"/>
    <w:basedOn w:val="DefaultParagraphFont"/>
    <w:rsid w:val="00144326"/>
  </w:style>
  <w:style w:type="paragraph" w:styleId="FootnoteText">
    <w:name w:val="footnote text"/>
    <w:basedOn w:val="Normal"/>
    <w:link w:val="FootnoteTextChar"/>
    <w:uiPriority w:val="99"/>
    <w:semiHidden/>
    <w:unhideWhenUsed/>
    <w:rsid w:val="00221D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21D8C"/>
    <w:rPr>
      <w:sz w:val="20"/>
      <w:szCs w:val="20"/>
    </w:rPr>
  </w:style>
  <w:style w:type="character" w:styleId="FootnoteReference">
    <w:name w:val="footnote reference"/>
    <w:basedOn w:val="DefaultParagraphFont"/>
    <w:uiPriority w:val="99"/>
    <w:semiHidden/>
    <w:unhideWhenUsed/>
    <w:rsid w:val="00221D8C"/>
    <w:rPr>
      <w:vertAlign w:val="superscript"/>
    </w:rPr>
  </w:style>
  <w:style w:type="character" w:styleId="CommentReference">
    <w:name w:val="annotation reference"/>
    <w:basedOn w:val="DefaultParagraphFont"/>
    <w:uiPriority w:val="99"/>
    <w:semiHidden/>
    <w:unhideWhenUsed/>
    <w:rsid w:val="00D02119"/>
    <w:rPr>
      <w:sz w:val="16"/>
      <w:szCs w:val="16"/>
    </w:rPr>
  </w:style>
  <w:style w:type="paragraph" w:styleId="CommentText">
    <w:name w:val="annotation text"/>
    <w:basedOn w:val="Normal"/>
    <w:link w:val="CommentTextChar"/>
    <w:uiPriority w:val="99"/>
    <w:unhideWhenUsed/>
    <w:rsid w:val="00D02119"/>
    <w:pPr>
      <w:spacing w:line="240" w:lineRule="auto"/>
    </w:pPr>
    <w:rPr>
      <w:sz w:val="20"/>
      <w:szCs w:val="20"/>
    </w:rPr>
  </w:style>
  <w:style w:type="character" w:customStyle="1" w:styleId="CommentTextChar">
    <w:name w:val="Comment Text Char"/>
    <w:basedOn w:val="DefaultParagraphFont"/>
    <w:link w:val="CommentText"/>
    <w:uiPriority w:val="99"/>
    <w:rsid w:val="00D02119"/>
    <w:rPr>
      <w:sz w:val="20"/>
      <w:szCs w:val="20"/>
    </w:rPr>
  </w:style>
  <w:style w:type="paragraph" w:styleId="CommentSubject">
    <w:name w:val="annotation subject"/>
    <w:basedOn w:val="CommentText"/>
    <w:next w:val="CommentText"/>
    <w:link w:val="CommentSubjectChar"/>
    <w:uiPriority w:val="99"/>
    <w:semiHidden/>
    <w:unhideWhenUsed/>
    <w:rsid w:val="00D02119"/>
    <w:rPr>
      <w:b/>
      <w:bCs/>
    </w:rPr>
  </w:style>
  <w:style w:type="character" w:customStyle="1" w:styleId="CommentSubjectChar">
    <w:name w:val="Comment Subject Char"/>
    <w:basedOn w:val="CommentTextChar"/>
    <w:link w:val="CommentSubject"/>
    <w:uiPriority w:val="99"/>
    <w:semiHidden/>
    <w:rsid w:val="00D02119"/>
    <w:rPr>
      <w:b/>
      <w:bCs/>
      <w:sz w:val="20"/>
      <w:szCs w:val="20"/>
    </w:rPr>
  </w:style>
  <w:style w:type="paragraph" w:styleId="Header">
    <w:name w:val="header"/>
    <w:basedOn w:val="Normal"/>
    <w:link w:val="HeaderChar"/>
    <w:uiPriority w:val="99"/>
    <w:unhideWhenUsed/>
    <w:rsid w:val="00C946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4671"/>
  </w:style>
  <w:style w:type="paragraph" w:styleId="Footer">
    <w:name w:val="footer"/>
    <w:basedOn w:val="Normal"/>
    <w:link w:val="FooterChar"/>
    <w:uiPriority w:val="99"/>
    <w:unhideWhenUsed/>
    <w:rsid w:val="00C946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4671"/>
  </w:style>
  <w:style w:type="character" w:styleId="Hyperlink">
    <w:name w:val="Hyperlink"/>
    <w:basedOn w:val="DefaultParagraphFont"/>
    <w:uiPriority w:val="99"/>
    <w:semiHidden/>
    <w:unhideWhenUsed/>
    <w:rsid w:val="006267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789482">
      <w:bodyDiv w:val="1"/>
      <w:marLeft w:val="0"/>
      <w:marRight w:val="0"/>
      <w:marTop w:val="0"/>
      <w:marBottom w:val="0"/>
      <w:divBdr>
        <w:top w:val="none" w:sz="0" w:space="0" w:color="auto"/>
        <w:left w:val="none" w:sz="0" w:space="0" w:color="auto"/>
        <w:bottom w:val="none" w:sz="0" w:space="0" w:color="auto"/>
        <w:right w:val="none" w:sz="0" w:space="0" w:color="auto"/>
      </w:divBdr>
      <w:divsChild>
        <w:div w:id="549535911">
          <w:marLeft w:val="0"/>
          <w:marRight w:val="0"/>
          <w:marTop w:val="0"/>
          <w:marBottom w:val="0"/>
          <w:divBdr>
            <w:top w:val="none" w:sz="0" w:space="0" w:color="auto"/>
            <w:left w:val="none" w:sz="0" w:space="0" w:color="auto"/>
            <w:bottom w:val="none" w:sz="0" w:space="0" w:color="auto"/>
            <w:right w:val="none" w:sz="0" w:space="0" w:color="auto"/>
          </w:divBdr>
        </w:div>
        <w:div w:id="1736854015">
          <w:marLeft w:val="0"/>
          <w:marRight w:val="0"/>
          <w:marTop w:val="0"/>
          <w:marBottom w:val="0"/>
          <w:divBdr>
            <w:top w:val="none" w:sz="0" w:space="0" w:color="auto"/>
            <w:left w:val="none" w:sz="0" w:space="0" w:color="auto"/>
            <w:bottom w:val="none" w:sz="0" w:space="0" w:color="auto"/>
            <w:right w:val="none" w:sz="0" w:space="0" w:color="auto"/>
          </w:divBdr>
        </w:div>
        <w:div w:id="14693953">
          <w:marLeft w:val="0"/>
          <w:marRight w:val="0"/>
          <w:marTop w:val="0"/>
          <w:marBottom w:val="0"/>
          <w:divBdr>
            <w:top w:val="none" w:sz="0" w:space="0" w:color="auto"/>
            <w:left w:val="none" w:sz="0" w:space="0" w:color="auto"/>
            <w:bottom w:val="none" w:sz="0" w:space="0" w:color="auto"/>
            <w:right w:val="none" w:sz="0" w:space="0" w:color="auto"/>
          </w:divBdr>
          <w:divsChild>
            <w:div w:id="2103910873">
              <w:marLeft w:val="-75"/>
              <w:marRight w:val="0"/>
              <w:marTop w:val="30"/>
              <w:marBottom w:val="30"/>
              <w:divBdr>
                <w:top w:val="none" w:sz="0" w:space="0" w:color="auto"/>
                <w:left w:val="none" w:sz="0" w:space="0" w:color="auto"/>
                <w:bottom w:val="none" w:sz="0" w:space="0" w:color="auto"/>
                <w:right w:val="none" w:sz="0" w:space="0" w:color="auto"/>
              </w:divBdr>
              <w:divsChild>
                <w:div w:id="24257084">
                  <w:marLeft w:val="0"/>
                  <w:marRight w:val="0"/>
                  <w:marTop w:val="0"/>
                  <w:marBottom w:val="0"/>
                  <w:divBdr>
                    <w:top w:val="none" w:sz="0" w:space="0" w:color="auto"/>
                    <w:left w:val="none" w:sz="0" w:space="0" w:color="auto"/>
                    <w:bottom w:val="none" w:sz="0" w:space="0" w:color="auto"/>
                    <w:right w:val="none" w:sz="0" w:space="0" w:color="auto"/>
                  </w:divBdr>
                  <w:divsChild>
                    <w:div w:id="1635986625">
                      <w:marLeft w:val="0"/>
                      <w:marRight w:val="0"/>
                      <w:marTop w:val="0"/>
                      <w:marBottom w:val="0"/>
                      <w:divBdr>
                        <w:top w:val="none" w:sz="0" w:space="0" w:color="auto"/>
                        <w:left w:val="none" w:sz="0" w:space="0" w:color="auto"/>
                        <w:bottom w:val="none" w:sz="0" w:space="0" w:color="auto"/>
                        <w:right w:val="none" w:sz="0" w:space="0" w:color="auto"/>
                      </w:divBdr>
                    </w:div>
                  </w:divsChild>
                </w:div>
                <w:div w:id="627200206">
                  <w:marLeft w:val="0"/>
                  <w:marRight w:val="0"/>
                  <w:marTop w:val="0"/>
                  <w:marBottom w:val="0"/>
                  <w:divBdr>
                    <w:top w:val="none" w:sz="0" w:space="0" w:color="auto"/>
                    <w:left w:val="none" w:sz="0" w:space="0" w:color="auto"/>
                    <w:bottom w:val="none" w:sz="0" w:space="0" w:color="auto"/>
                    <w:right w:val="none" w:sz="0" w:space="0" w:color="auto"/>
                  </w:divBdr>
                  <w:divsChild>
                    <w:div w:id="2082094973">
                      <w:marLeft w:val="0"/>
                      <w:marRight w:val="0"/>
                      <w:marTop w:val="0"/>
                      <w:marBottom w:val="0"/>
                      <w:divBdr>
                        <w:top w:val="none" w:sz="0" w:space="0" w:color="auto"/>
                        <w:left w:val="none" w:sz="0" w:space="0" w:color="auto"/>
                        <w:bottom w:val="none" w:sz="0" w:space="0" w:color="auto"/>
                        <w:right w:val="none" w:sz="0" w:space="0" w:color="auto"/>
                      </w:divBdr>
                    </w:div>
                    <w:div w:id="1192917080">
                      <w:marLeft w:val="0"/>
                      <w:marRight w:val="0"/>
                      <w:marTop w:val="0"/>
                      <w:marBottom w:val="0"/>
                      <w:divBdr>
                        <w:top w:val="none" w:sz="0" w:space="0" w:color="auto"/>
                        <w:left w:val="none" w:sz="0" w:space="0" w:color="auto"/>
                        <w:bottom w:val="none" w:sz="0" w:space="0" w:color="auto"/>
                        <w:right w:val="none" w:sz="0" w:space="0" w:color="auto"/>
                      </w:divBdr>
                    </w:div>
                    <w:div w:id="1931158042">
                      <w:marLeft w:val="0"/>
                      <w:marRight w:val="0"/>
                      <w:marTop w:val="0"/>
                      <w:marBottom w:val="0"/>
                      <w:divBdr>
                        <w:top w:val="none" w:sz="0" w:space="0" w:color="auto"/>
                        <w:left w:val="none" w:sz="0" w:space="0" w:color="auto"/>
                        <w:bottom w:val="none" w:sz="0" w:space="0" w:color="auto"/>
                        <w:right w:val="none" w:sz="0" w:space="0" w:color="auto"/>
                      </w:divBdr>
                    </w:div>
                    <w:div w:id="1108938151">
                      <w:marLeft w:val="0"/>
                      <w:marRight w:val="0"/>
                      <w:marTop w:val="0"/>
                      <w:marBottom w:val="0"/>
                      <w:divBdr>
                        <w:top w:val="none" w:sz="0" w:space="0" w:color="auto"/>
                        <w:left w:val="none" w:sz="0" w:space="0" w:color="auto"/>
                        <w:bottom w:val="none" w:sz="0" w:space="0" w:color="auto"/>
                        <w:right w:val="none" w:sz="0" w:space="0" w:color="auto"/>
                      </w:divBdr>
                    </w:div>
                    <w:div w:id="1098404857">
                      <w:marLeft w:val="0"/>
                      <w:marRight w:val="0"/>
                      <w:marTop w:val="0"/>
                      <w:marBottom w:val="0"/>
                      <w:divBdr>
                        <w:top w:val="none" w:sz="0" w:space="0" w:color="auto"/>
                        <w:left w:val="none" w:sz="0" w:space="0" w:color="auto"/>
                        <w:bottom w:val="none" w:sz="0" w:space="0" w:color="auto"/>
                        <w:right w:val="none" w:sz="0" w:space="0" w:color="auto"/>
                      </w:divBdr>
                    </w:div>
                  </w:divsChild>
                </w:div>
                <w:div w:id="1011300915">
                  <w:marLeft w:val="0"/>
                  <w:marRight w:val="0"/>
                  <w:marTop w:val="0"/>
                  <w:marBottom w:val="0"/>
                  <w:divBdr>
                    <w:top w:val="none" w:sz="0" w:space="0" w:color="auto"/>
                    <w:left w:val="none" w:sz="0" w:space="0" w:color="auto"/>
                    <w:bottom w:val="none" w:sz="0" w:space="0" w:color="auto"/>
                    <w:right w:val="none" w:sz="0" w:space="0" w:color="auto"/>
                  </w:divBdr>
                  <w:divsChild>
                    <w:div w:id="102727007">
                      <w:marLeft w:val="0"/>
                      <w:marRight w:val="0"/>
                      <w:marTop w:val="0"/>
                      <w:marBottom w:val="0"/>
                      <w:divBdr>
                        <w:top w:val="none" w:sz="0" w:space="0" w:color="auto"/>
                        <w:left w:val="none" w:sz="0" w:space="0" w:color="auto"/>
                        <w:bottom w:val="none" w:sz="0" w:space="0" w:color="auto"/>
                        <w:right w:val="none" w:sz="0" w:space="0" w:color="auto"/>
                      </w:divBdr>
                    </w:div>
                    <w:div w:id="1594627761">
                      <w:marLeft w:val="0"/>
                      <w:marRight w:val="0"/>
                      <w:marTop w:val="0"/>
                      <w:marBottom w:val="0"/>
                      <w:divBdr>
                        <w:top w:val="none" w:sz="0" w:space="0" w:color="auto"/>
                        <w:left w:val="none" w:sz="0" w:space="0" w:color="auto"/>
                        <w:bottom w:val="none" w:sz="0" w:space="0" w:color="auto"/>
                        <w:right w:val="none" w:sz="0" w:space="0" w:color="auto"/>
                      </w:divBdr>
                    </w:div>
                    <w:div w:id="33515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837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interchange.puc.texas.gov/Documents/52373_250_116822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7BDB1-5FED-40BB-98FE-0A00C5390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1317</Words>
  <Characters>7512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Laughlin, Madeline (Enel North America - USA)</dc:creator>
  <cp:keywords/>
  <dc:description/>
  <cp:lastModifiedBy>Laughlin, Madeline (Enel North America - USA)</cp:lastModifiedBy>
  <cp:revision>7</cp:revision>
  <dcterms:created xsi:type="dcterms:W3CDTF">2022-12-15T16:23:00Z</dcterms:created>
  <dcterms:modified xsi:type="dcterms:W3CDTF">2022-12-15T17:02:00Z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0dc17e52-2c13-4869-8fc2-493b8419533b</vt:lpwstr>
  </property>
</Properties>
</file>